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黑体" w:asciiTheme="minorEastAsia" w:hAnsiTheme="minorEastAsia"/>
          <w:b/>
          <w:bCs/>
          <w:sz w:val="32"/>
          <w:szCs w:val="32"/>
        </w:rPr>
      </w:pPr>
      <w:bookmarkStart w:id="0" w:name="_GoBack"/>
      <w:bookmarkEnd w:id="0"/>
      <w:r>
        <w:rPr>
          <w:rFonts w:hint="eastAsia" w:cs="宋体" w:asciiTheme="minorEastAsia" w:hAnsiTheme="minorEastAsia"/>
          <w:b/>
          <w:bCs/>
          <w:sz w:val="32"/>
          <w:szCs w:val="32"/>
        </w:rPr>
        <w:t>普货运输企业</w:t>
      </w:r>
      <w:r>
        <w:rPr>
          <w:rFonts w:hint="eastAsia" w:cs="黑体" w:asciiTheme="minorEastAsia" w:hAnsiTheme="minorEastAsia"/>
          <w:b/>
          <w:bCs/>
          <w:sz w:val="32"/>
          <w:szCs w:val="32"/>
        </w:rPr>
        <w:t>安全生产主体责任清单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388"/>
        <w:gridCol w:w="6629"/>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责任名称</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责任内容</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经营许可条件</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应持有有效的营业执照、经营许可证等生产经营资质，并按照许可的范围开展生产经营活动；</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《中华人民共和国安全生产法》（2021年修订）（2014年修正）第17条</w:t>
            </w:r>
          </w:p>
          <w:p>
            <w:pPr>
              <w:pStyle w:val="2"/>
              <w:ind w:firstLine="0" w:firstLineChars="0"/>
              <w:rPr>
                <w:rFonts w:cs="宋体" w:asciiTheme="minorEastAsia" w:hAnsiTheme="minorEastAsia"/>
                <w:szCs w:val="21"/>
              </w:rPr>
            </w:pPr>
            <w:r>
              <w:rPr>
                <w:rFonts w:hint="eastAsia" w:cs="宋体" w:asciiTheme="minorEastAsia" w:hAnsiTheme="minorEastAsia"/>
                <w:szCs w:val="21"/>
              </w:rPr>
              <w:t>《</w:t>
            </w:r>
            <w:r>
              <w:rPr>
                <w:rFonts w:cs="宋体" w:asciiTheme="minorEastAsia" w:hAnsiTheme="minorEastAsia"/>
                <w:szCs w:val="21"/>
              </w:rPr>
              <w:t>中华人民共和国道路运输条例</w:t>
            </w:r>
            <w:r>
              <w:rPr>
                <w:rFonts w:hint="eastAsia" w:cs="宋体" w:asciiTheme="minorEastAsia" w:hAnsiTheme="minorEastAsia"/>
                <w:szCs w:val="21"/>
              </w:rPr>
              <w:t>》（国务院令第666号）第21、22、24条</w:t>
            </w:r>
          </w:p>
          <w:p>
            <w:pPr>
              <w:rPr>
                <w:rFonts w:cs="宋体" w:asciiTheme="minorEastAsia" w:hAnsiTheme="minorEastAsia"/>
                <w:szCs w:val="21"/>
              </w:rPr>
            </w:pPr>
            <w:r>
              <w:rPr>
                <w:rFonts w:hint="eastAsia" w:cs="宋体" w:asciiTheme="minorEastAsia" w:hAnsiTheme="minorEastAsia"/>
                <w:szCs w:val="21"/>
              </w:rPr>
              <w:t>《四川省</w:t>
            </w:r>
            <w:r>
              <w:rPr>
                <w:rFonts w:cs="宋体" w:asciiTheme="minorEastAsia" w:hAnsiTheme="minorEastAsia"/>
                <w:szCs w:val="21"/>
              </w:rPr>
              <w:t>道路运输条例</w:t>
            </w:r>
            <w:r>
              <w:rPr>
                <w:rFonts w:hint="eastAsia" w:cs="宋体" w:asciiTheme="minorEastAsia" w:hAnsiTheme="minorEastAsia"/>
                <w:szCs w:val="21"/>
              </w:rPr>
              <w:t>》（</w:t>
            </w:r>
            <w:r>
              <w:rPr>
                <w:rFonts w:cs="宋体" w:asciiTheme="minorEastAsia" w:hAnsiTheme="minorEastAsia"/>
                <w:szCs w:val="21"/>
              </w:rPr>
              <w:t>四川省第十二届</w:t>
            </w:r>
            <w:r>
              <w:fldChar w:fldCharType="begin"/>
            </w:r>
            <w:r>
              <w:instrText xml:space="preserve"> HYPERLINK "https://baike.baidu.com/item/%E4%BA%BA%E6%B0%91%E4%BB%A3%E8%A1%A8%E5%A4%A7%E4%BC%9A%E5%B8%B8%E5%8A%A1%E5%A7%94%E5%91%98%E4%BC%9A/8904157" \t "https://baike.baidu.com/item/%E5%9B%9B%E5%B7%9D%E7%9C%81%E9%81%93%E8%B7%AF%E8%BF%90%E8%BE%93%E6%9D%A1%E4%BE%8B/_blank" </w:instrText>
            </w:r>
            <w:r>
              <w:fldChar w:fldCharType="separate"/>
            </w:r>
            <w:r>
              <w:rPr>
                <w:rFonts w:cs="宋体" w:asciiTheme="minorEastAsia" w:hAnsiTheme="minorEastAsia"/>
                <w:szCs w:val="21"/>
              </w:rPr>
              <w:t>人民代表大会常务委员会</w:t>
            </w:r>
            <w:r>
              <w:rPr>
                <w:rFonts w:cs="宋体" w:asciiTheme="minorEastAsia" w:hAnsiTheme="minorEastAsia"/>
                <w:szCs w:val="21"/>
              </w:rPr>
              <w:fldChar w:fldCharType="end"/>
            </w:r>
            <w:r>
              <w:rPr>
                <w:rFonts w:cs="宋体" w:asciiTheme="minorEastAsia" w:hAnsiTheme="minorEastAsia"/>
                <w:szCs w:val="21"/>
              </w:rPr>
              <w:t>公告第23号</w:t>
            </w:r>
            <w:r>
              <w:rPr>
                <w:rFonts w:hint="eastAsia" w:cs="宋体" w:asciiTheme="minorEastAsia" w:hAnsiTheme="minorEastAsia"/>
                <w:szCs w:val="21"/>
              </w:rPr>
              <w:t>）第19条</w:t>
            </w:r>
          </w:p>
          <w:p>
            <w:pPr>
              <w:pStyle w:val="2"/>
              <w:ind w:firstLine="0" w:firstLineChars="0"/>
              <w:rPr>
                <w:rFonts w:asciiTheme="minorEastAsia" w:hAnsiTheme="minorEastAsia"/>
                <w:szCs w:val="21"/>
              </w:rPr>
            </w:pPr>
            <w:r>
              <w:rPr>
                <w:rFonts w:hint="eastAsia" w:cs="宋体" w:asciiTheme="minorEastAsia" w:hAnsiTheme="minorEastAsia"/>
                <w:szCs w:val="21"/>
              </w:rPr>
              <w:t>《道路货物运输及站场管理规定》（交通运输部令2016年第35号）第6条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1"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安全生产规章制度和操作规程</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.建立健全安全生产责任体系，明确各部门、各岗位安全生产责任，定期实施考核奖惩；</w:t>
            </w:r>
          </w:p>
          <w:p>
            <w:pPr>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建立健全符合法律法规、标准并符合企业实际的安全生产管理制度，制度至少应包括：安全目标管理制度、安全生产承诺制度、安全生产责任制、安全生产会议制度、安全生产投入管理制度、安全生产考核和奖惩制度、安全生产检查和隐患排查治理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p>
          <w:p>
            <w:pPr>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.应制定以下安全生产操作规程：驾驶员安全操作规程、动态监控操作规程和其他安全操作规程；</w:t>
            </w:r>
          </w:p>
          <w:p>
            <w:pP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.应定期对安全生产管理制度和操作规程进行有效性、适用性、符合性评审和修订，并及时组织相关人员培训学习；</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《四川省生产经营单位安全生产责任规定》（四川省人民政府令第216号）第3、6、7条</w:t>
            </w:r>
          </w:p>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《交通运输企业安全生产标准化建设基本规范》（JT/T1180）第1部分5.2条、第4部分第6.2.3、6.2.4、6.2.5条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0" w:type="auto"/>
            <w:vAlign w:val="center"/>
          </w:tcPr>
          <w:p>
            <w:pPr>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rPr>
                <w:rFonts w:cs="宋体" w:asciiTheme="minorEastAsia" w:hAnsiTheme="minorEastAsia"/>
                <w:szCs w:val="21"/>
              </w:rPr>
            </w:pPr>
            <w:r>
              <w:rPr>
                <w:rFonts w:hint="eastAsia" w:cs="宋体" w:asciiTheme="minorEastAsia" w:hAnsiTheme="minorEastAsia"/>
                <w:szCs w:val="21"/>
              </w:rPr>
              <w:t>7.依法设置专职安全生产管理部门并配备与经营规模相适应的专职安全管理人员依法单独设置专职安全生产管理部门，且不得与其它部门合并设置，并配备与经营规模相适应的专职安全管理人员，</w:t>
            </w:r>
            <w:r>
              <w:rPr>
                <w:rFonts w:cs="宋体" w:asciiTheme="minorEastAsia" w:hAnsiTheme="minorEastAsia"/>
                <w:szCs w:val="21"/>
              </w:rPr>
              <w:t>最低不得少于3名</w:t>
            </w:r>
            <w:r>
              <w:rPr>
                <w:rFonts w:hint="eastAsia" w:cs="宋体" w:asciiTheme="minorEastAsia" w:hAnsiTheme="minorEastAsia"/>
                <w:szCs w:val="21"/>
              </w:rPr>
              <w:t>；</w:t>
            </w:r>
          </w:p>
          <w:p>
            <w:pPr>
              <w:rPr>
                <w:rFonts w:cs="宋体" w:asciiTheme="minorEastAsia" w:hAnsiTheme="minorEastAsia"/>
                <w:szCs w:val="21"/>
              </w:rPr>
            </w:pPr>
            <w:r>
              <w:rPr>
                <w:rFonts w:hint="eastAsia" w:cs="宋体" w:asciiTheme="minorEastAsia" w:hAnsiTheme="minorEastAsia"/>
                <w:szCs w:val="21"/>
              </w:rPr>
              <w:t>8.配置与企业安全生产相适应的其他职能部门或科室；</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《中华人民共和国安全生产法》（2021年修订）（2014年修正）第21条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《四川省生产经营单位安全生产责任规定》（四川省人民政府令第216号）第9条</w:t>
            </w:r>
          </w:p>
          <w:p>
            <w:pPr>
              <w:pStyle w:val="2"/>
              <w:ind w:firstLine="0" w:firstLineChars="0"/>
              <w:rPr>
                <w:rFonts w:asciiTheme="minorEastAsia" w:hAnsiTheme="minorEastAsia"/>
                <w:szCs w:val="21"/>
              </w:rPr>
            </w:pPr>
            <w:r>
              <w:rPr>
                <w:rFonts w:cs="Arial" w:asciiTheme="minorEastAsia" w:hAnsiTheme="minorEastAsia"/>
                <w:szCs w:val="21"/>
                <w:shd w:val="clear" w:color="auto" w:fill="FFFFFF"/>
              </w:rPr>
              <w:t>《</w:t>
            </w:r>
            <w:r>
              <w:rPr>
                <w:rFonts w:hint="eastAsia" w:cs="宋体" w:asciiTheme="minorEastAsia" w:hAnsiTheme="minorEastAsia"/>
                <w:szCs w:val="21"/>
              </w:rPr>
              <w:t>企业安全生产责任体系</w:t>
            </w:r>
            <w:r>
              <w:rPr>
                <w:rFonts w:cs="宋体" w:asciiTheme="minorEastAsia" w:hAnsiTheme="minorEastAsia"/>
                <w:szCs w:val="21"/>
              </w:rPr>
              <w:t>五落实五到位规定》</w:t>
            </w:r>
            <w:r>
              <w:rPr>
                <w:rFonts w:hint="eastAsia" w:cs="宋体" w:asciiTheme="minorEastAsia" w:hAnsiTheme="minorEastAsia"/>
                <w:szCs w:val="21"/>
              </w:rPr>
              <w:t>（安监总办〔2015〕27号）第4条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四川省交通厅运管局《关于进一步加强道路运输企业安全生产工作的实施意见》（川运函〔2010〕283号）第2条</w:t>
            </w:r>
          </w:p>
          <w:p>
            <w:pPr>
              <w:pStyle w:val="2"/>
              <w:ind w:firstLine="0" w:firstLineChars="0"/>
              <w:rPr>
                <w:rFonts w:cs="宋体" w:asciiTheme="minorEastAsia" w:hAnsiTheme="minorEastAsia"/>
                <w:szCs w:val="21"/>
              </w:rPr>
            </w:pPr>
          </w:p>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保证安全生产资金有效投入</w:t>
            </w:r>
          </w:p>
        </w:tc>
        <w:tc>
          <w:tcPr>
            <w:tcW w:w="0" w:type="auto"/>
            <w:vAlign w:val="center"/>
          </w:tcPr>
          <w:p>
            <w:pPr>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.企业的决策机构、主要负责人应当保证安全生产条件所必需的资金投入（以上年度实际营业收入为计提依据，按照1%的标准平均逐月提取）；</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0</w:t>
            </w:r>
            <w:r>
              <w:rPr>
                <w:rFonts w:hint="eastAsia" w:cs="宋体" w:asciiTheme="minorEastAsia" w:hAnsiTheme="minorEastAsia"/>
                <w:szCs w:val="21"/>
              </w:rPr>
              <w:t>.依法参加工伤保险，为从业人员缴纳保险费，配备安全生产必备的劳动防护用品；</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《中华人民共和国安全生产法》（2021年修订）（2014年修正）第20、42、48、49条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《四川省生产经营单位安全生产责任规定》（四川省人民政府令第216号）第13条</w:t>
            </w:r>
          </w:p>
          <w:p>
            <w:pPr>
              <w:rPr>
                <w:rFonts w:cs="宋体" w:asciiTheme="minorEastAsia" w:hAnsiTheme="minorEastAsia"/>
                <w:szCs w:val="21"/>
              </w:rPr>
            </w:pPr>
            <w:r>
              <w:rPr>
                <w:rFonts w:hint="eastAsia" w:cs="宋体" w:asciiTheme="minorEastAsia" w:hAnsiTheme="minorEastAsia"/>
                <w:szCs w:val="21"/>
              </w:rPr>
              <w:t>《企业安全生产费用提取和使用管理办法》（财企〔2012〕1</w:t>
            </w:r>
            <w:r>
              <w:rPr>
                <w:rFonts w:cs="宋体" w:asciiTheme="minorEastAsia" w:hAnsiTheme="minorEastAsia"/>
                <w:szCs w:val="21"/>
              </w:rPr>
              <w:t>6</w:t>
            </w:r>
            <w:r>
              <w:rPr>
                <w:rFonts w:hint="eastAsia" w:cs="宋体" w:asciiTheme="minorEastAsia" w:hAnsiTheme="minorEastAsia"/>
                <w:szCs w:val="21"/>
              </w:rPr>
              <w:t>号）第9条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安全生产会议</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按照相关法规和安全生产会议制度，定期召开各类安全生产会议；</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《交通运输企业安全生产标准化建设基本规范》（JT/T1180）第1部分5.2条</w:t>
            </w:r>
          </w:p>
          <w:p>
            <w:pPr>
              <w:rPr>
                <w:rFonts w:asciiTheme="minorEastAsia" w:hAnsiTheme="minorEastAsia"/>
                <w:szCs w:val="21"/>
              </w:rPr>
            </w:pPr>
            <w:r>
              <w:rPr>
                <w:rFonts w:hint="eastAsia" w:cs="宋体" w:asciiTheme="minorEastAsia" w:hAnsiTheme="minorEastAsia"/>
                <w:szCs w:val="21"/>
              </w:rPr>
              <w:t>四川省交通厅运管局《关于进一步加强道路运输企业安全生产工作的实施意见》（川运函〔2010〕283号）第2条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安全生产培训教育</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3.主要负责人和安全生产管理人员应当接受安全培训,初次培训时间不少于2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学时，具备与所从事的生产经营活动相适应的安全生产知识和管理能力，且经主管部门考核合格，并持证上岗；</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4.应当对从业人员按照有关规定进行安全生产教育，</w:t>
            </w:r>
            <w:r>
              <w:rPr>
                <w:rFonts w:hint="eastAsia" w:asciiTheme="minorEastAsia" w:hAnsiTheme="minorEastAsia" w:cstheme="minorEastAsia"/>
                <w:szCs w:val="21"/>
              </w:rPr>
              <w:t>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学时,未经教育培训合格的从业人员，不得安排上岗作业；</w:t>
            </w:r>
          </w:p>
        </w:tc>
        <w:tc>
          <w:tcPr>
            <w:tcW w:w="0" w:type="auto"/>
            <w:vAlign w:val="center"/>
          </w:tcPr>
          <w:p>
            <w:pPr>
              <w:rPr>
                <w:rFonts w:cs="宋体" w:asciiTheme="minorEastAsia" w:hAnsiTheme="minorEastAsia"/>
                <w:szCs w:val="21"/>
              </w:rPr>
            </w:pPr>
            <w:r>
              <w:rPr>
                <w:rFonts w:hint="eastAsia" w:asciiTheme="minorEastAsia" w:hAnsiTheme="minorEastAsia"/>
                <w:szCs w:val="21"/>
              </w:rPr>
              <w:t>《中华人民共和国安全生产法》（2021年修订）</w:t>
            </w:r>
            <w:r>
              <w:rPr>
                <w:rFonts w:hint="eastAsia" w:cs="宋体" w:asciiTheme="minorEastAsia" w:hAnsiTheme="minorEastAsia"/>
                <w:szCs w:val="21"/>
              </w:rPr>
              <w:t>（2014年修正）第25条</w:t>
            </w:r>
          </w:p>
          <w:p>
            <w:pPr>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《国务院安委会关于进一步加强安全培训工作的决定》（安委〔2012〕10号）第8条</w:t>
            </w:r>
          </w:p>
          <w:p>
            <w:pPr>
              <w:rPr>
                <w:rFonts w:cs="宋体" w:asciiTheme="minorEastAsia" w:hAnsiTheme="minorEastAsia"/>
                <w:szCs w:val="21"/>
              </w:rPr>
            </w:pPr>
            <w:r>
              <w:rPr>
                <w:rFonts w:hint="eastAsia" w:cs="宋体" w:asciiTheme="minorEastAsia" w:hAnsiTheme="minorEastAsia"/>
                <w:szCs w:val="21"/>
              </w:rPr>
              <w:t>《生产经营单位安全培训规定》（国家安全生产监督管理总局第</w:t>
            </w:r>
            <w:r>
              <w:rPr>
                <w:rFonts w:cs="宋体" w:asciiTheme="minorEastAsia" w:hAnsiTheme="minorEastAsia"/>
                <w:szCs w:val="21"/>
              </w:rPr>
              <w:t>80号令</w:t>
            </w:r>
            <w:r>
              <w:rPr>
                <w:rFonts w:hint="eastAsia" w:cs="宋体" w:asciiTheme="minorEastAsia" w:hAnsiTheme="minorEastAsia"/>
                <w:szCs w:val="21"/>
              </w:rPr>
              <w:t>）第4条</w:t>
            </w:r>
          </w:p>
          <w:p>
            <w:pPr>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《道路运输企业主要负责人和安全生产管理人员安全考核管理办法》（交运规〔2019〕6号）第6条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《四川省生产经营单位安全生产责任规定》（四川省人民政府令第216号）第15条</w:t>
            </w:r>
          </w:p>
          <w:p>
            <w:pPr>
              <w:rPr>
                <w:rFonts w:asciiTheme="minorEastAsia" w:hAnsiTheme="minorEastAsia"/>
                <w:szCs w:val="21"/>
              </w:rPr>
            </w:pPr>
            <w:r>
              <w:rPr>
                <w:rFonts w:hint="eastAsia" w:cs="宋体" w:asciiTheme="minorEastAsia" w:hAnsiTheme="minorEastAsia"/>
                <w:szCs w:val="21"/>
              </w:rPr>
              <w:t>《交通运输企业安全生产标准化建设基本规范》（JT/T1180）第1部分5.2条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7</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车辆技术管理</w:t>
            </w:r>
          </w:p>
        </w:tc>
        <w:tc>
          <w:tcPr>
            <w:tcW w:w="0" w:type="auto"/>
            <w:vAlign w:val="center"/>
          </w:tcPr>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5.依法设置车辆技术管理部门，并根据车辆数量和经营类别配备车辆技术管理人员，对车辆实施有效的技术管理（车辆在30辆及以上的，应设置专门的车辆技术管理机构，配备技术负责人和车辆技术管理人员；车辆在30辆及以下的，应配备车辆技术管理人员）；</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6.</w:t>
            </w:r>
            <w:r>
              <w:rPr>
                <w:rFonts w:hint="eastAsia" w:asciiTheme="minorEastAsia" w:hAnsiTheme="minorEastAsia"/>
                <w:szCs w:val="21"/>
              </w:rPr>
              <w:t>按照相关法规和车辆技术管理制度，对车辆实施全过程管理；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《道路运输车辆技术管理规定》（交通运输部令201</w:t>
            </w:r>
            <w:r>
              <w:rPr>
                <w:rFonts w:cs="宋体" w:asciiTheme="minorEastAsia" w:hAnsiTheme="minorEastAsia"/>
                <w:szCs w:val="21"/>
              </w:rPr>
              <w:t>9</w:t>
            </w:r>
            <w:r>
              <w:rPr>
                <w:rFonts w:hint="eastAsia" w:cs="宋体" w:asciiTheme="minorEastAsia" w:hAnsiTheme="minorEastAsia"/>
                <w:szCs w:val="21"/>
              </w:rPr>
              <w:t>年第1</w:t>
            </w:r>
            <w:r>
              <w:rPr>
                <w:rFonts w:cs="宋体" w:asciiTheme="minorEastAsia" w:hAnsiTheme="minorEastAsia"/>
                <w:szCs w:val="21"/>
              </w:rPr>
              <w:t>9</w:t>
            </w:r>
            <w:r>
              <w:rPr>
                <w:rFonts w:hint="eastAsia" w:cs="宋体" w:asciiTheme="minorEastAsia" w:hAnsiTheme="minorEastAsia"/>
                <w:szCs w:val="21"/>
              </w:rPr>
              <w:t>号）第11条</w:t>
            </w:r>
          </w:p>
          <w:p>
            <w:pPr>
              <w:rPr>
                <w:rFonts w:asciiTheme="minorEastAsia" w:hAnsiTheme="minorEastAsia"/>
                <w:szCs w:val="21"/>
              </w:rPr>
            </w:pPr>
            <w:r>
              <w:rPr>
                <w:rFonts w:hint="eastAsia" w:cs="宋体" w:asciiTheme="minorEastAsia" w:hAnsiTheme="minorEastAsia"/>
                <w:szCs w:val="21"/>
              </w:rPr>
              <w:t>《道路运输企业车辆技术管理规范》（JT/T1045-2016）第4.1.4条</w:t>
            </w:r>
          </w:p>
          <w:p>
            <w:pPr>
              <w:rPr>
                <w:rFonts w:cs="宋体" w:asciiTheme="minorEastAsia" w:hAnsiTheme="minorEastAsia"/>
                <w:szCs w:val="21"/>
              </w:rPr>
            </w:pPr>
            <w:r>
              <w:rPr>
                <w:rFonts w:hint="eastAsia" w:cs="宋体" w:asciiTheme="minorEastAsia" w:hAnsiTheme="minorEastAsia"/>
                <w:szCs w:val="21"/>
              </w:rPr>
              <w:t>《机动车运行安全技术条件》（GB7258-2017）《车辆维护、检测、诊断技术规范》(GB/T18344)</w:t>
            </w:r>
          </w:p>
          <w:p>
            <w:pPr>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《机动车强制报废标准规定》(商务部、发改委、公安部、环境保护部令2012年第12号)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8</w:t>
            </w:r>
          </w:p>
        </w:tc>
        <w:tc>
          <w:tcPr>
            <w:tcW w:w="0" w:type="auto"/>
            <w:vAlign w:val="center"/>
          </w:tcPr>
          <w:p>
            <w:pPr>
              <w:rPr>
                <w:rFonts w:asciiTheme="minorEastAsia" w:hAnsiTheme="minorEastAsia"/>
                <w:szCs w:val="21"/>
              </w:rPr>
            </w:pPr>
            <w:r>
              <w:rPr>
                <w:rFonts w:hint="eastAsia" w:asciiTheme="minorEastAsia" w:hAnsiTheme="minorEastAsia"/>
                <w:szCs w:val="21"/>
              </w:rPr>
              <w:t>车辆动态</w:t>
            </w:r>
          </w:p>
          <w:p>
            <w:pPr>
              <w:rPr>
                <w:rFonts w:asciiTheme="minorEastAsia" w:hAnsiTheme="minorEastAsia"/>
                <w:szCs w:val="21"/>
              </w:rPr>
            </w:pPr>
            <w:r>
              <w:rPr>
                <w:rFonts w:hint="eastAsia" w:asciiTheme="minorEastAsia" w:hAnsiTheme="minorEastAsia"/>
                <w:szCs w:val="21"/>
              </w:rPr>
              <w:t>监控</w:t>
            </w:r>
          </w:p>
          <w:p>
            <w:pPr>
              <w:rPr>
                <w:rFonts w:cs="宋体" w:asciiTheme="minorEastAsia" w:hAnsiTheme="minorEastAsia"/>
                <w:szCs w:val="21"/>
              </w:rPr>
            </w:pPr>
            <w:r>
              <w:rPr>
                <w:rFonts w:hint="eastAsia" w:cs="宋体" w:asciiTheme="minorEastAsia" w:hAnsiTheme="minorEastAsia"/>
                <w:szCs w:val="21"/>
              </w:rPr>
              <w:t>（50辆及以上重型载货汽车&lt;总质量12吨及以上的普货车辆&gt;适用）</w:t>
            </w:r>
          </w:p>
        </w:tc>
        <w:tc>
          <w:tcPr>
            <w:tcW w:w="0" w:type="auto"/>
            <w:vAlign w:val="center"/>
          </w:tcPr>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7.应当按照标准建设道路运输车辆动态监控平台，或者使用符合条件的社会化卫星定位系统监控平台，对所属道路运输车辆和驾驶员运行过程进行实时监控和管理；</w:t>
            </w:r>
          </w:p>
          <w:p>
            <w:pPr>
              <w:rPr>
                <w:rFonts w:cs="宋体" w:asciiTheme="minorEastAsia" w:hAnsiTheme="minorEastAsia"/>
                <w:szCs w:val="21"/>
              </w:rPr>
            </w:pPr>
            <w:r>
              <w:rPr>
                <w:rFonts w:hint="eastAsia" w:cs="宋体" w:asciiTheme="minorEastAsia" w:hAnsiTheme="minorEastAsia"/>
                <w:szCs w:val="21"/>
              </w:rPr>
              <w:t>18.车辆应当安装符合国家、行业标准的车载终端，接入监控平台，并建立健全车辆安装使用车载终端登记台账；</w:t>
            </w:r>
          </w:p>
          <w:p>
            <w:pPr>
              <w:rPr>
                <w:rFonts w:cs="宋体" w:asciiTheme="minorEastAsia" w:hAnsiTheme="minorEastAsia"/>
                <w:szCs w:val="21"/>
              </w:rPr>
            </w:pPr>
            <w:r>
              <w:rPr>
                <w:rFonts w:hint="eastAsia" w:cs="宋体" w:asciiTheme="minorEastAsia" w:hAnsiTheme="minorEastAsia"/>
                <w:szCs w:val="21"/>
              </w:rPr>
              <w:t>19.应当配备专职监控人员，原则上按照监控平台每接入100辆车设1人的标准配备，最低不少于2人；</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《道路运输车辆动态监督管理办法》（交通运输部第55号令）第9、22条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9</w:t>
            </w:r>
          </w:p>
        </w:tc>
        <w:tc>
          <w:tcPr>
            <w:tcW w:w="0" w:type="auto"/>
            <w:vAlign w:val="center"/>
          </w:tcPr>
          <w:p>
            <w:pPr>
              <w:rPr>
                <w:rFonts w:cs="宋体" w:asciiTheme="minorEastAsia" w:hAnsiTheme="minorEastAsia"/>
                <w:szCs w:val="21"/>
              </w:rPr>
            </w:pPr>
            <w:r>
              <w:rPr>
                <w:rFonts w:hint="eastAsia" w:asciiTheme="minorEastAsia" w:hAnsiTheme="minorEastAsia"/>
                <w:szCs w:val="21"/>
              </w:rPr>
              <w:t>驾驶员管理</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0.按照相关法规和驾驶员安全管理制度，规范驾驶员招聘、</w:t>
            </w:r>
            <w:r>
              <w:rPr>
                <w:rFonts w:hint="eastAsia" w:asciiTheme="minorEastAsia" w:hAnsiTheme="minorEastAsia"/>
                <w:szCs w:val="21"/>
              </w:rPr>
              <w:t>日常管理和教育培训,初次培训时间不少于24学时，实行驾驶员全过程管理；</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《中华人民共和国道路交通安全法》（2021年修正）第19条</w:t>
            </w:r>
          </w:p>
          <w:p>
            <w:pPr>
              <w:pStyle w:val="2"/>
              <w:ind w:firstLine="0" w:firstLineChars="0"/>
              <w:rPr>
                <w:rFonts w:asciiTheme="minorEastAsia" w:hAnsiTheme="minorEastAsia"/>
                <w:szCs w:val="21"/>
              </w:rPr>
            </w:pPr>
            <w:r>
              <w:rPr>
                <w:rFonts w:hint="eastAsia" w:cs="宋体" w:asciiTheme="minorEastAsia" w:hAnsiTheme="minorEastAsia"/>
                <w:szCs w:val="21"/>
              </w:rPr>
              <w:t>《道路运输从业人员管理规定》（交通运输部令2019年第18号）第10、37条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5"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0" w:type="auto"/>
            <w:vAlign w:val="center"/>
          </w:tcPr>
          <w:p>
            <w:pPr>
              <w:pStyle w:val="2"/>
              <w:ind w:firstLine="0" w:firstLineChars="0"/>
              <w:rPr>
                <w:rFonts w:asciiTheme="minorEastAsia" w:hAnsiTheme="minorEastAsia"/>
                <w:szCs w:val="21"/>
              </w:rPr>
            </w:pPr>
            <w:r>
              <w:rPr>
                <w:rFonts w:hint="eastAsia" w:cs="宋体" w:asciiTheme="minorEastAsia" w:hAnsiTheme="minorEastAsia"/>
                <w:szCs w:val="21"/>
              </w:rPr>
              <w:t>安全检查隐患排查</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1.定期开展安全检查和隐患排查，及时制定风险管控措施和治理安全隐患，并建立完善台账和档案；</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《中华人民共和国安全生产法》（2021年修订）（2014年修正）第38、43条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《四川省生产经营单位安全生产责任规定》（四川省人民政府令第216号）第29条</w:t>
            </w:r>
          </w:p>
          <w:p>
            <w:pPr>
              <w:rPr>
                <w:rFonts w:cs="宋体" w:asciiTheme="minorEastAsia" w:hAnsiTheme="minorEastAsia"/>
                <w:szCs w:val="21"/>
              </w:rPr>
            </w:pPr>
            <w:r>
              <w:rPr>
                <w:rFonts w:hint="eastAsia" w:cs="宋体" w:asciiTheme="minorEastAsia" w:hAnsiTheme="minorEastAsia"/>
                <w:szCs w:val="21"/>
              </w:rPr>
              <w:t>《公路水路行业安全生产风险管理暂行办法》（交安监发〔2017〕60号）第3、11条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0" w:type="auto"/>
            <w:vAlign w:val="center"/>
          </w:tcPr>
          <w:p>
            <w:pPr>
              <w:rPr>
                <w:rFonts w:asciiTheme="minorEastAsia" w:hAnsiTheme="minorEastAsia"/>
                <w:szCs w:val="21"/>
              </w:rPr>
            </w:pPr>
            <w:r>
              <w:rPr>
                <w:rFonts w:hint="eastAsia" w:asciiTheme="minorEastAsia" w:hAnsiTheme="minorEastAsia"/>
                <w:szCs w:val="21"/>
              </w:rPr>
              <w:t>应急管理</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2.建立与生产经营活动相适应的应急救援体系；</w:t>
            </w:r>
          </w:p>
          <w:p>
            <w:pPr>
              <w:rPr>
                <w:rFonts w:cs="宋体" w:asciiTheme="minorEastAsia" w:hAnsiTheme="minorEastAsia"/>
                <w:szCs w:val="21"/>
              </w:rPr>
            </w:pPr>
            <w:r>
              <w:rPr>
                <w:rFonts w:hint="eastAsia" w:cs="宋体" w:asciiTheme="minorEastAsia" w:hAnsiTheme="minorEastAsia"/>
                <w:szCs w:val="21"/>
              </w:rPr>
              <w:t>23</w:t>
            </w:r>
            <w:r>
              <w:rPr>
                <w:rFonts w:cs="宋体" w:asciiTheme="minorEastAsia" w:hAnsiTheme="minorEastAsia"/>
                <w:szCs w:val="21"/>
              </w:rPr>
              <w:t>.</w:t>
            </w:r>
            <w:r>
              <w:rPr>
                <w:rFonts w:hint="eastAsia" w:cs="宋体" w:asciiTheme="minorEastAsia" w:hAnsiTheme="minorEastAsia"/>
                <w:szCs w:val="21"/>
              </w:rPr>
              <w:t>编制各类应急救援预案，并按照规定进行评审、备案、培训和演练每年至少组织一次综合应急预案或者专项应急预案演练，每半年至少组织一次现场处置方案演练；</w:t>
            </w:r>
          </w:p>
          <w:p>
            <w:pPr>
              <w:rPr>
                <w:rFonts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4.建立应急救援队伍，配备必要的应急装备、物资；</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《中华人民共和国安全生产法》（2021年修订）（2014年修正）第37、78条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《生产安全事故应急条例（国务院令第708号）第4、5、6、8条》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《四川省生产经营单位安全生产责任规定》（四川省人民政府令第216号）第11、25条</w:t>
            </w:r>
          </w:p>
          <w:p>
            <w:pPr>
              <w:rPr>
                <w:rFonts w:cs="宋体" w:asciiTheme="minorEastAsia" w:hAnsiTheme="minorEastAsia"/>
                <w:szCs w:val="21"/>
              </w:rPr>
            </w:pPr>
            <w:r>
              <w:rPr>
                <w:rFonts w:hint="eastAsia" w:cs="宋体" w:asciiTheme="minorEastAsia" w:hAnsiTheme="minorEastAsia"/>
                <w:szCs w:val="21"/>
              </w:rPr>
              <w:t>《生产安全事故应急预案管理办法》（应急管理部令第2号）第26、33条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0" w:type="auto"/>
            <w:vAlign w:val="center"/>
          </w:tcPr>
          <w:p>
            <w:pPr>
              <w:jc w:val="cente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2</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生产安全事故管理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25</w:t>
            </w:r>
            <w:r>
              <w:rPr>
                <w:rFonts w:cs="宋体" w:asciiTheme="minorEastAsia" w:hAnsiTheme="minorEastAsia"/>
                <w:szCs w:val="21"/>
              </w:rPr>
              <w:t>.</w:t>
            </w:r>
            <w:r>
              <w:rPr>
                <w:rFonts w:hint="eastAsia" w:cs="宋体" w:asciiTheme="minorEastAsia" w:hAnsiTheme="minorEastAsia"/>
                <w:szCs w:val="21"/>
              </w:rPr>
              <w:t>按照相关法律法规和事故报告调查处理统计管理制度，及时、如实向有关部门报告事故情况；</w:t>
            </w:r>
          </w:p>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6．按照“四不放过”原则开展事故调查处理工作；</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《中华人民共和国安全生产法》（2021年修订）（2014年修正）第47、80条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pStyle w:val="2"/>
              <w:ind w:firstLine="0" w:firstLineChars="0"/>
              <w:rPr>
                <w:rFonts w:asciiTheme="minorEastAsia" w:hAnsiTheme="minorEastAsia"/>
                <w:szCs w:val="21"/>
              </w:rPr>
            </w:pPr>
            <w:r>
              <w:rPr>
                <w:rFonts w:hint="eastAsia" w:cs="宋体" w:asciiTheme="minorEastAsia" w:hAnsiTheme="minorEastAsia"/>
                <w:szCs w:val="21"/>
              </w:rPr>
              <w:t>《生产安全事故报告和调查处理条例》（国务院令第493号）第4、9、12、13条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13</w:t>
            </w:r>
          </w:p>
        </w:tc>
        <w:tc>
          <w:tcPr>
            <w:tcW w:w="0" w:type="auto"/>
            <w:vAlign w:val="center"/>
          </w:tcPr>
          <w:p>
            <w:pPr>
              <w:rPr>
                <w:rFonts w:asciiTheme="minorEastAsia" w:hAnsiTheme="minorEastAsia"/>
                <w:szCs w:val="21"/>
              </w:rPr>
            </w:pPr>
            <w:r>
              <w:rPr>
                <w:rFonts w:hint="eastAsia" w:cs="宋体" w:asciiTheme="minorEastAsia" w:hAnsiTheme="minorEastAsia"/>
                <w:szCs w:val="21"/>
              </w:rPr>
              <w:t>其他</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7.法律、法规、规章规定的其他安全生产责任。</w:t>
            </w:r>
          </w:p>
        </w:tc>
        <w:tc>
          <w:tcPr>
            <w:tcW w:w="0" w:type="auto"/>
            <w:vAlign w:val="center"/>
          </w:tcPr>
          <w:p>
            <w:pPr>
              <w:rPr>
                <w:rFonts w:cs="宋体" w:asciiTheme="minorEastAsia" w:hAnsiTheme="minorEastAsia"/>
                <w:szCs w:val="21"/>
              </w:rPr>
            </w:pPr>
          </w:p>
        </w:tc>
      </w:tr>
    </w:tbl>
    <w:p>
      <w:pPr>
        <w:pStyle w:val="1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ED777D4"/>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5FD50C35"/>
    <w:rsid w:val="6040308A"/>
    <w:rsid w:val="613E78A3"/>
    <w:rsid w:val="61BF3015"/>
    <w:rsid w:val="64463C6F"/>
    <w:rsid w:val="683141CC"/>
    <w:rsid w:val="68456707"/>
    <w:rsid w:val="6A5A6A40"/>
    <w:rsid w:val="6AEB5704"/>
    <w:rsid w:val="6DCE27EC"/>
    <w:rsid w:val="6E486122"/>
    <w:rsid w:val="6ED777D4"/>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3061</Words>
  <Characters>3347</Characters>
  <Lines>0</Lines>
  <Paragraphs>0</Paragraphs>
  <TotalTime>0</TotalTime>
  <ScaleCrop>false</ScaleCrop>
  <LinksUpToDate>false</LinksUpToDate>
  <CharactersWithSpaces>3347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2023-03-02T10:28:00Z</dcterms:created>
  <dc:creator>孙瑞</dc:creator>
  <cp:lastModifiedBy>孙瑞</cp:lastModifiedBy>
  <dcterms:modified xsi:type="dcterms:W3CDTF">2023-03-02T10:28:55Z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221659C2F4AD40BAB80DA172154A79DB</vt:lpwstr>
  </property>
</Properties>
</file>