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黑体" w:asciiTheme="minorEastAsia" w:hAnsiTheme="minorEastAsia"/>
          <w:b/>
          <w:sz w:val="32"/>
          <w:szCs w:val="32"/>
        </w:rPr>
      </w:pPr>
      <w:r>
        <w:rPr>
          <w:rFonts w:hint="eastAsia" w:cs="黑体" w:asciiTheme="minorEastAsia" w:hAnsiTheme="minorEastAsia"/>
          <w:b/>
          <w:sz w:val="32"/>
          <w:szCs w:val="32"/>
        </w:rPr>
        <w:t>客运企业安全检查清单</w:t>
      </w:r>
    </w:p>
    <w:tbl>
      <w:tblPr>
        <w:tblStyle w:val="13"/>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964"/>
        <w:gridCol w:w="173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25"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检查事项</w:t>
            </w:r>
          </w:p>
        </w:tc>
        <w:tc>
          <w:tcPr>
            <w:tcW w:w="5964"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检查排查内容</w:t>
            </w:r>
          </w:p>
        </w:tc>
        <w:tc>
          <w:tcPr>
            <w:tcW w:w="1737"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检查周期</w:t>
            </w:r>
          </w:p>
        </w:tc>
        <w:tc>
          <w:tcPr>
            <w:tcW w:w="1068" w:type="dxa"/>
            <w:vAlign w:val="center"/>
          </w:tcPr>
          <w:p>
            <w:pPr>
              <w:spacing w:line="400" w:lineRule="exact"/>
              <w:jc w:val="center"/>
              <w:rPr>
                <w:rFonts w:asciiTheme="minorEastAsia" w:hAnsiTheme="minorEastAsia"/>
                <w:b/>
                <w:bCs/>
                <w:szCs w:val="21"/>
              </w:rPr>
            </w:pPr>
            <w:r>
              <w:rPr>
                <w:rFonts w:hint="eastAsia" w:asciiTheme="minorEastAsia" w:hAnsiTheme="minorEastAsia"/>
                <w:b/>
                <w:bCs/>
                <w:szCs w:val="21"/>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5" w:type="dxa"/>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经营许可</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查企业《营业执照》、《道路运输经营许可证》</w:t>
            </w:r>
          </w:p>
          <w:p>
            <w:pPr>
              <w:spacing w:line="400" w:lineRule="exact"/>
              <w:rPr>
                <w:rFonts w:asciiTheme="minorEastAsia" w:hAnsiTheme="minorEastAsia"/>
                <w:szCs w:val="21"/>
              </w:rPr>
            </w:pPr>
            <w:r>
              <w:rPr>
                <w:rFonts w:hint="eastAsia" w:asciiTheme="minorEastAsia" w:hAnsiTheme="minorEastAsia"/>
                <w:szCs w:val="21"/>
              </w:rPr>
              <w:t>1.查证照有效期；2.查证照的经营范围。</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每年至少1次</w:t>
            </w:r>
          </w:p>
        </w:tc>
        <w:tc>
          <w:tcPr>
            <w:tcW w:w="1068"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安全生产领导机构</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和专职管理机构及人员配备情况</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1.查公司安全生产领导机构设立文件，人员的任命文件；</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每季度至少1次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2.查公司安全专职机构的设立文件；负责人、专职安全管理人员的任命、任职文件；</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每季度至少1次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3.查公司安全生产领导机构和安全专职机构人员调整任命文件；</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4.查主要负责人、安全生产管理人员是否持有效证件上岗；</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安全生产规章制度操作规程</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1.查是否按规定建立健全安全生产管理制度；</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2.查在新规定出台后，企业安全管理制度企业是否及时进行了修订完善；</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查修改后的制度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3.查是否按规定分类制定安全生产岗位操作规程；</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安全目标管理</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1.查是否按规定签订各级安全生产目标责任书；</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2.查各级安全生产目标考核情况；</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查考核奖惩台帐和文件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安全生产资金投入情况</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1.查是否制定安全生产经费提取使用计划，且是否文件形式下进行规定</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2.查是否依法足额提取、规范使用安全生产经费，是否建立专账；</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查财务明细账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3.查是否依法参加工伤保险并按时缴纳费用；</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查财务明细账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4.查是否配备安全生产必备的劳动防护用品；</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生产</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会议</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1.查是否按规定召开各类安全生产会议，</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2.查参会人员范围（是否与安全生产领导机构成员一致）</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查签到记录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3.查是否安全生产领导机构会议形成会议纪要。</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4.查安全生产领导机构会议议定事项落实情况。</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安全生产教育培训情况</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1.查是否制定安全生产教育培训计划；</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2.查是否按规定的内容、要求开展管理人员教育培训；</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3.查驾驶人员安全生产教育培训开展情况；</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车辆</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技术</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管理</w:t>
            </w: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1.查是否依法设置车辆技术管理部门，查企业车辆技术管理机构的设立文件；</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2.查是否根据车辆数量和经营类别配备车辆技术管理人员；查车辆技术管理人员任职资质；</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3.查是否按照规定编制年度车辆维护、保养、检测计划。</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4.查是否严格按计划实施车辆的一、二级维护保养和年度审验、检验工作。</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5.查车辆技术档案，是否实行一车一档，档案内容是否准确、详实并及时更新；</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6.查是否按规定开展车辆安全设施设备排查；</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查记录和现场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7.查车辆是否按规定险种、险额进行保险；</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8.查是否严格执行国家关于车辆报废规定；</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9.查重大节假日、重点时段是否开展车辆安全技术排查；</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5" w:type="dxa"/>
            <w:vMerge w:val="restart"/>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车辆动态</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监控情况</w:t>
            </w:r>
          </w:p>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1.查动态监控平台是否通过交通运输部标准符合性审查，查系统服务商工商执照、省级道路运输管理机构备案公告、通过系统平台标准符合性技术检测报告、车载终端设备检测报告；</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2.查监控系统功能是否符合《四川省道路运输车辆主动安全智能防控系统技术规范（试行）》规定的功能要求；</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3.查监控人员配备是否符合要求，监控人员是否参加培训和持证上岗；</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查文件台帐和上岗证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4.查车辆是否旅游客车、包车客车、三类以上班线客车是否按规定全部安装主动安全智能防控系统和视频实时监控装置，并接入监控平台；</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5.查是否完整准确录入车辆和驾驶员基础信息资料,并及时进行更新；</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vAlign w:val="center"/>
          </w:tcPr>
          <w:p>
            <w:pPr>
              <w:spacing w:line="400" w:lineRule="exact"/>
              <w:rPr>
                <w:rFonts w:asciiTheme="minorEastAsia" w:hAnsiTheme="minorEastAsia"/>
                <w:szCs w:val="21"/>
              </w:rPr>
            </w:pPr>
            <w:r>
              <w:rPr>
                <w:rFonts w:hint="eastAsia" w:asciiTheme="minorEastAsia" w:hAnsiTheme="minorEastAsia"/>
                <w:szCs w:val="21"/>
              </w:rPr>
              <w:t>6.查监控人员的工作开展情况，查是否及时如实填写监控日志，是否及时推送道路和天气预警信息；是否及时纠正驾驶员的违法违规行为；核查监控人员是否严格执行值班值守和交接班制度；</w:t>
            </w:r>
          </w:p>
        </w:tc>
        <w:tc>
          <w:tcPr>
            <w:tcW w:w="1737" w:type="dxa"/>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Align w:val="center"/>
          </w:tcPr>
          <w:p>
            <w:pPr>
              <w:spacing w:line="400" w:lineRule="exact"/>
              <w:jc w:val="center"/>
              <w:rPr>
                <w:rFonts w:asciiTheme="minorEastAsia" w:hAnsiTheme="minorEastAsia"/>
                <w:szCs w:val="21"/>
              </w:rPr>
            </w:pPr>
            <w:r>
              <w:rPr>
                <w:rFonts w:hint="eastAsia" w:asciiTheme="minorEastAsia" w:hAnsiTheme="minorEastAsia"/>
                <w:szCs w:val="21"/>
              </w:rPr>
              <w:t>查台帐和值班日志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restart"/>
            <w:tcBorders>
              <w:top w:val="single" w:color="auto" w:sz="4" w:space="0"/>
            </w:tcBorders>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驾驶员</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管理情况</w:t>
            </w: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1.查企业是否对驾驶员实施全过程管理。</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Merge w:val="restart"/>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2.查客运驾驶员信息档案是否实行一人一档，及时更新；信息档案是否齐全；</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3.查驾驶员岗前教育培训情况；</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4.查驾驶员在岗教育学习情况；</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5.查驾驶员违法违规行为处理情况；</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6.查从业人员职业病防治情况，查从业人员体检台账、体检档案；</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5" w:type="dxa"/>
            <w:vMerge w:val="restart"/>
            <w:tcBorders>
              <w:top w:val="single" w:color="auto" w:sz="4" w:space="0"/>
            </w:tcBorders>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双重预防机制</w:t>
            </w: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1.查企业是否按规定建立“双重机制”；</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2.查企业是否定期开展风险辨识和评估，是否制定安全风险管控清单；</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每年至少一次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查记录、清单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3.查是否开展安全检查和隐患排查，及时治理隐患；</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Merge w:val="restart"/>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查记录、台账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.查是否建立健全安全检查、隐患排查治理台账与档案；</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restart"/>
            <w:tcBorders>
              <w:top w:val="single" w:color="auto" w:sz="4" w:space="0"/>
            </w:tcBorders>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应急</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管理</w:t>
            </w:r>
          </w:p>
          <w:p>
            <w:pPr>
              <w:spacing w:line="400" w:lineRule="exact"/>
              <w:jc w:val="center"/>
              <w:rPr>
                <w:rFonts w:cs="宋体" w:asciiTheme="minorEastAsia" w:hAnsiTheme="minorEastAsia"/>
                <w:b/>
                <w:bCs/>
                <w:szCs w:val="21"/>
              </w:rPr>
            </w:pPr>
            <w:r>
              <w:rPr>
                <w:rFonts w:hint="eastAsia" w:cs="宋体" w:asciiTheme="minorEastAsia" w:hAnsiTheme="minorEastAsia"/>
                <w:b/>
                <w:bCs/>
                <w:szCs w:val="21"/>
              </w:rPr>
              <w:t>情况</w:t>
            </w: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1.查企业制定是否按规定编制、修订各项应急预案；</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每三年至少一次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2.查企业应急预案是否按规定评审、备案；</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每三年至少一次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查评审及备案资料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3.查企业是否按规定开展应急预案培训和演练；</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每半年至少一次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查计划及演练资料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查企业应急物资配备情况，是否按规定进行维护；</w:t>
            </w:r>
          </w:p>
        </w:tc>
        <w:tc>
          <w:tcPr>
            <w:tcW w:w="1737"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tcBorders>
              <w:top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查台账及维护检查记录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5" w:type="dxa"/>
            <w:vMerge w:val="restart"/>
            <w:tcBorders>
              <w:top w:val="single" w:color="auto" w:sz="4" w:space="0"/>
            </w:tcBorders>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安全事故管理情况</w:t>
            </w:r>
          </w:p>
        </w:tc>
        <w:tc>
          <w:tcPr>
            <w:tcW w:w="5964" w:type="dxa"/>
            <w:tcBorders>
              <w:top w:val="single" w:color="auto" w:sz="4" w:space="0"/>
              <w:bottom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1.查企业事故档案台账。</w:t>
            </w:r>
          </w:p>
        </w:tc>
        <w:tc>
          <w:tcPr>
            <w:tcW w:w="1737"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每季度至少一次</w:t>
            </w:r>
          </w:p>
        </w:tc>
        <w:tc>
          <w:tcPr>
            <w:tcW w:w="1068"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bottom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2.查事故统计、分析情况。</w:t>
            </w:r>
          </w:p>
        </w:tc>
        <w:tc>
          <w:tcPr>
            <w:tcW w:w="1737"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每月至少一次</w:t>
            </w:r>
          </w:p>
        </w:tc>
        <w:tc>
          <w:tcPr>
            <w:tcW w:w="1068"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查统计分析资料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continue"/>
            <w:vAlign w:val="center"/>
          </w:tcPr>
          <w:p>
            <w:pPr>
              <w:spacing w:line="400" w:lineRule="exact"/>
              <w:jc w:val="center"/>
              <w:rPr>
                <w:rFonts w:cs="宋体" w:asciiTheme="minorEastAsia" w:hAnsiTheme="minorEastAsia"/>
                <w:b/>
                <w:bCs/>
                <w:szCs w:val="21"/>
              </w:rPr>
            </w:pPr>
          </w:p>
        </w:tc>
        <w:tc>
          <w:tcPr>
            <w:tcW w:w="5964" w:type="dxa"/>
            <w:tcBorders>
              <w:top w:val="single" w:color="auto" w:sz="4" w:space="0"/>
              <w:bottom w:val="single" w:color="auto" w:sz="4" w:space="0"/>
            </w:tcBorders>
            <w:vAlign w:val="center"/>
          </w:tcPr>
          <w:p>
            <w:pPr>
              <w:spacing w:line="400" w:lineRule="exact"/>
              <w:rPr>
                <w:rFonts w:asciiTheme="minorEastAsia" w:hAnsiTheme="minorEastAsia"/>
                <w:szCs w:val="21"/>
              </w:rPr>
            </w:pPr>
            <w:r>
              <w:rPr>
                <w:rFonts w:hint="eastAsia" w:asciiTheme="minorEastAsia" w:hAnsiTheme="minorEastAsia"/>
                <w:szCs w:val="21"/>
              </w:rPr>
              <w:t>3.较大以上事故处理及整改措施的落实情况</w:t>
            </w:r>
          </w:p>
        </w:tc>
        <w:tc>
          <w:tcPr>
            <w:tcW w:w="1737"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p>
        </w:tc>
        <w:tc>
          <w:tcPr>
            <w:tcW w:w="1068" w:type="dxa"/>
            <w:tcBorders>
              <w:top w:val="single" w:color="auto" w:sz="4" w:space="0"/>
              <w:bottom w:val="single" w:color="auto" w:sz="4" w:space="0"/>
            </w:tcBorders>
            <w:vAlign w:val="center"/>
          </w:tcPr>
          <w:p>
            <w:pPr>
              <w:spacing w:line="400" w:lineRule="exact"/>
              <w:jc w:val="center"/>
              <w:rPr>
                <w:rFonts w:asciiTheme="minorEastAsia" w:hAnsiTheme="minorEastAsia"/>
                <w:szCs w:val="21"/>
              </w:rPr>
            </w:pPr>
            <w:r>
              <w:rPr>
                <w:rFonts w:hint="eastAsia" w:asciiTheme="minorEastAsia" w:hAnsiTheme="minorEastAsia"/>
                <w:szCs w:val="21"/>
              </w:rPr>
              <w:t>查“四不放过”档案资料</w:t>
            </w:r>
          </w:p>
        </w:tc>
      </w:tr>
    </w:tbl>
    <w:p>
      <w:pPr>
        <w:pStyle w:val="1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0485B42"/>
    <w:rsid w:val="03C54999"/>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 w:val="7048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Words>
  <Characters>10</Characters>
  <Lines>0</Lines>
  <Paragraphs>0</Paragraphs>
  <TotalTime>0</TotalTime>
  <ScaleCrop>false</ScaleCrop>
  <LinksUpToDate>false</LinksUpToDate>
  <CharactersWithSpaces>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2023-03-02T10:27:00Z</dcterms:created>
  <dc:creator>孙瑞</dc:creator>
  <cp:lastModifiedBy>孙瑞</cp:lastModifiedBy>
  <dcterms:modified xsi:type="dcterms:W3CDTF">2023-03-02T10:28:18Z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9B9CA4F516404274A241E3AE8C174FB7</vt:lpwstr>
  </property>
</Properties>
</file>