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89" w:beforeLines="50" w:after="289" w:afterLines="50" w:line="570" w:lineRule="exact"/>
        <w:ind w:firstLine="240" w:firstLineChars="100"/>
        <w:jc w:val="left"/>
        <w:outlineLvl w:val="1"/>
        <w:rPr>
          <w:rFonts w:eastAsia="黑体"/>
          <w:bCs/>
        </w:rPr>
      </w:pPr>
      <w:r>
        <w:rPr>
          <w:rFonts w:hint="eastAsia" w:eastAsia="黑体"/>
          <w:bCs/>
          <w:lang w:val="en-US" w:eastAsia="zh-CN"/>
        </w:rPr>
        <w:t>4</w:t>
      </w:r>
      <w:r>
        <w:rPr>
          <w:rFonts w:eastAsia="黑体"/>
          <w:bCs/>
        </w:rPr>
        <w:t>四川省普通公路运营企业日常安全工作清单参考模板</w:t>
      </w:r>
      <w:r>
        <w:rPr>
          <w:rFonts w:hint="eastAsia" w:eastAsia="黑体"/>
          <w:bCs/>
          <w:lang w:val="en-US" w:eastAsia="zh-CN"/>
        </w:rPr>
        <w:t xml:space="preserve">  </w:t>
      </w:r>
      <w:bookmarkStart w:id="0" w:name="_GoBack"/>
      <w:r>
        <w:rPr>
          <w:rFonts w:eastAsia="黑体"/>
          <w:bCs/>
        </w:rPr>
        <w:t>岗位安全操作要点示例</w:t>
      </w:r>
      <w:bookmarkEnd w:id="0"/>
    </w:p>
    <w:p>
      <w:pPr>
        <w:rPr>
          <w:rFonts w:eastAsia="黑体"/>
          <w:bCs/>
        </w:rPr>
      </w:pPr>
    </w:p>
    <w:tbl>
      <w:tblPr>
        <w:tblStyle w:val="12"/>
        <w:tblW w:w="140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844"/>
        <w:gridCol w:w="9131"/>
        <w:gridCol w:w="19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1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84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作业类型</w:t>
            </w:r>
          </w:p>
        </w:tc>
        <w:tc>
          <w:tcPr>
            <w:tcW w:w="913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岗位安全操作要点</w:t>
            </w:r>
          </w:p>
        </w:tc>
        <w:tc>
          <w:tcPr>
            <w:tcW w:w="19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</w:trPr>
        <w:tc>
          <w:tcPr>
            <w:tcW w:w="1118" w:type="dxa"/>
            <w:shd w:val="clear" w:color="auto" w:fill="auto"/>
            <w:noWrap w:val="0"/>
            <w:vAlign w:val="center"/>
          </w:tcPr>
          <w:p>
            <w:pPr>
              <w:spacing w:line="216" w:lineRule="auto"/>
              <w:jc w:val="center"/>
              <w:rPr>
                <w:bCs/>
                <w:kern w:val="0"/>
                <w:sz w:val="25"/>
                <w:szCs w:val="25"/>
              </w:rPr>
            </w:pPr>
            <w:r>
              <w:rPr>
                <w:bCs/>
                <w:kern w:val="0"/>
                <w:sz w:val="25"/>
                <w:szCs w:val="25"/>
              </w:rPr>
              <w:t>1</w:t>
            </w:r>
          </w:p>
        </w:tc>
        <w:tc>
          <w:tcPr>
            <w:tcW w:w="1844" w:type="dxa"/>
            <w:shd w:val="clear" w:color="auto" w:fill="auto"/>
            <w:noWrap w:val="0"/>
            <w:vAlign w:val="center"/>
          </w:tcPr>
          <w:p>
            <w:pPr>
              <w:spacing w:line="216" w:lineRule="auto"/>
              <w:jc w:val="center"/>
              <w:rPr>
                <w:bCs/>
                <w:kern w:val="0"/>
                <w:sz w:val="25"/>
                <w:szCs w:val="25"/>
              </w:rPr>
            </w:pPr>
            <w:r>
              <w:rPr>
                <w:rFonts w:eastAsia="黑体"/>
                <w:bCs/>
                <w:sz w:val="24"/>
              </w:rPr>
              <w:t>收费作业</w:t>
            </w:r>
          </w:p>
        </w:tc>
        <w:tc>
          <w:tcPr>
            <w:tcW w:w="9131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216" w:lineRule="auto"/>
              <w:jc w:val="left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1.明确工作内容和安全注意事项，规范着装并穿戴个人劳动防护用品（反光背心等）。</w:t>
            </w:r>
          </w:p>
          <w:p>
            <w:pPr>
              <w:adjustRightInd w:val="0"/>
              <w:snapToGrid w:val="0"/>
              <w:spacing w:line="216" w:lineRule="auto"/>
              <w:jc w:val="left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2.按指定行走线路进入收费亭。穿越车道时，遵循“一停二看三通过”的原则。</w:t>
            </w:r>
          </w:p>
          <w:p>
            <w:pPr>
              <w:adjustRightInd w:val="0"/>
              <w:snapToGrid w:val="0"/>
              <w:spacing w:line="216" w:lineRule="auto"/>
              <w:jc w:val="left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3.进行岗位交接班，检查收费亭工作场所、设施设备等能正常使用。</w:t>
            </w:r>
          </w:p>
          <w:p>
            <w:pPr>
              <w:adjustRightInd w:val="0"/>
              <w:snapToGrid w:val="0"/>
              <w:spacing w:line="216" w:lineRule="auto"/>
              <w:jc w:val="left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4.开展亭内收费作业时，收费亭工作期间，禁止无关人员进入。</w:t>
            </w:r>
          </w:p>
          <w:p>
            <w:pPr>
              <w:adjustRightInd w:val="0"/>
              <w:snapToGrid w:val="0"/>
              <w:spacing w:line="216" w:lineRule="auto"/>
              <w:jc w:val="left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5.开展亭外作业（交通疏导、车辆检查等）时，应面向来车并观察来车运行轨迹，在影响自身安全时及时避让。</w:t>
            </w:r>
          </w:p>
          <w:p>
            <w:pPr>
              <w:adjustRightInd w:val="0"/>
              <w:snapToGrid w:val="0"/>
              <w:spacing w:line="216" w:lineRule="auto"/>
              <w:jc w:val="left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6.规范开展交接班等收尾工作。</w:t>
            </w:r>
          </w:p>
          <w:p>
            <w:pPr>
              <w:adjustRightInd w:val="0"/>
              <w:snapToGrid w:val="0"/>
              <w:spacing w:line="216" w:lineRule="auto"/>
              <w:jc w:val="lef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7.发生设备故障、收费站拥堵、交通事故、遭盗抢等突发事件时，立即对现场进行管控和初期处置，按流程进行上报，同时按应急处置方案进行处置。</w:t>
            </w:r>
          </w:p>
        </w:tc>
        <w:tc>
          <w:tcPr>
            <w:tcW w:w="1939" w:type="dxa"/>
            <w:shd w:val="clear" w:color="auto" w:fill="auto"/>
            <w:noWrap w:val="0"/>
            <w:vAlign w:val="center"/>
          </w:tcPr>
          <w:p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11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</w:t>
            </w:r>
          </w:p>
        </w:tc>
        <w:tc>
          <w:tcPr>
            <w:tcW w:w="18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rFonts w:eastAsia="黑体"/>
                <w:bCs/>
                <w:sz w:val="24"/>
              </w:rPr>
              <w:t>路产巡查作业</w:t>
            </w:r>
          </w:p>
        </w:tc>
        <w:tc>
          <w:tcPr>
            <w:tcW w:w="913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1.明确工作内容和安全注意事项，规范着装并穿戴劳保用品，检查车辆、设备及救援用具。</w:t>
            </w:r>
          </w:p>
          <w:p>
            <w:pPr>
              <w:adjustRightInd w:val="0"/>
              <w:snapToGrid w:val="0"/>
              <w:jc w:val="left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2.对道路及基础设施进行巡查，发现问题及时处理、上报，并做好巡查日志。</w:t>
            </w:r>
          </w:p>
          <w:p>
            <w:pPr>
              <w:adjustRightInd w:val="0"/>
              <w:snapToGrid w:val="0"/>
              <w:jc w:val="left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3.巡查人员至少两人才能进行巡查，确保安全，严禁超速行驶。</w:t>
            </w:r>
          </w:p>
          <w:p>
            <w:pPr>
              <w:adjustRightInd w:val="0"/>
              <w:snapToGrid w:val="0"/>
              <w:jc w:val="left"/>
              <w:rPr>
                <w:rFonts w:eastAsia="方正仿宋_GB2312"/>
                <w:sz w:val="21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4.发现障碍物、路产损坏、交通事故、地质灾害异常情况，按要求做好先期处置，设置警示标志，并按规定报告相关部门。</w:t>
            </w:r>
          </w:p>
          <w:p>
            <w:pPr>
              <w:adjustRightInd w:val="0"/>
              <w:snapToGrid w:val="0"/>
              <w:jc w:val="left"/>
              <w:rPr>
                <w:rFonts w:eastAsia="仿宋"/>
                <w:bCs/>
                <w:kern w:val="0"/>
                <w:szCs w:val="21"/>
              </w:rPr>
            </w:pPr>
            <w:r>
              <w:rPr>
                <w:rFonts w:eastAsia="方正仿宋_GB2312"/>
                <w:sz w:val="21"/>
                <w:szCs w:val="21"/>
              </w:rPr>
              <w:t>5.整理完善各项内业资料。</w:t>
            </w:r>
          </w:p>
        </w:tc>
        <w:tc>
          <w:tcPr>
            <w:tcW w:w="193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XXX</w:t>
            </w: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470573E2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70573E2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  <w:rsid w:val="7101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TotalTime>0</TotalTime>
  <ScaleCrop>false</ScaleCrop>
  <LinksUpToDate>false</LinksUpToDate>
  <CharactersWithSpaces>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2023-03-03T01:45:00Z</dcterms:created>
  <dc:creator>孙瑞</dc:creator>
  <cp:lastModifiedBy>孙瑞</cp:lastModifiedBy>
  <dcterms:modified xsi:type="dcterms:W3CDTF">2023-03-03T01:46:59Z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CE7F2F322ED4493D8AC9D92A5BD98D65</vt:lpwstr>
  </property>
</Properties>
</file>