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int="eastAsia" w:eastAsia="黑体"/>
          <w:bCs/>
          <w:lang w:val="en-US" w:eastAsia="zh-CN"/>
        </w:rPr>
        <w:t>3</w:t>
      </w:r>
      <w:r>
        <w:rPr>
          <w:rFonts w:eastAsia="黑体"/>
          <w:bCs/>
        </w:rPr>
        <w:t>四川省普通公路运营企业重大安全风险管控责任清单</w:t>
      </w:r>
      <w:r>
        <w:rPr>
          <w:rFonts w:eastAsia="黑体"/>
        </w:rPr>
        <w:t>参考模板（2.0版）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02"/>
        <w:gridCol w:w="3556"/>
        <w:gridCol w:w="2173"/>
        <w:gridCol w:w="3956"/>
        <w:gridCol w:w="1062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0" w:type="auto"/>
            <w:tcBorders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bookmarkStart w:id="0" w:name="_GoBack"/>
            <w:r>
              <w:rPr>
                <w:rFonts w:eastAsia="方正仿宋_GB2312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重点部位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主要风险概述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管控责任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管控措施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责任人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3-1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在役危病桥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1.危病桥未按规定进行管控，发生超限超载行为，导致桥梁垮塌。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2.泥石流等地质灾害发生，导致桥梁垮塌。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3.桥梁上下游禁采区范围内采砂，导致桥梁垮塌。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4.洪水冲刷桥梁基础或淹没桥梁，导致桥梁垮塌。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5.船舶撞击桥梁，导致桥梁垮塌。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1.及时掌握桥梁状况；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2.严格落实桥梁安全运行管理制度；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3.保障人财物供给，保持桥梁和各类附属设施完好；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4.及时有效应对各类突发险情；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1.健全并落实各项安全管理规程和技术规范；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2.加强桥梁管养专业化队伍建设，开展日常巡查、经常性检查、定期检查、特殊检查，及时发现隐患，做好警示和管控措施；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3.建立桥梁及附属设施档案，定期对桥梁技术状况进行检测与评定；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4.发现违法采砂、爆破、超限超载等违法行为，积极协调有关部门，凝聚合力，及时消除安全隐患；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5.及时修复受损的桥梁构件；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6.针对桥梁可能发生的各类事故事件情形编制应急预案，配备应急装备并确保完好，定期组织演练；属于重大危险源的，预案报属地政府相关部门备案；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7. ……。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3-2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特长隧道和隧道群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1.隧道内违规通行危化品运输车辆。</w:t>
            </w:r>
          </w:p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2.隧道内车辆超速、变线、远光灯等违法违规行驶。</w:t>
            </w:r>
          </w:p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3.隧道发生土建结构病害未及时处治。隧道内监控、通风、照明、消防以及紧急电话、横通道门等设施设备出现故障未及时处理或不启用机电设备，有害气体浓度严重超标，影响通行安全。</w:t>
            </w:r>
          </w:p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4.极端天气下在隧道口出现冻雨冰雪灾害等，危及车辆运行安全。</w:t>
            </w:r>
          </w:p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5.客货运输车辆在隧道发生事故后应急救援难度较大，特别是涉及危险货物运输车辆事故，一旦发生二次事故后果严重。</w:t>
            </w:r>
          </w:p>
          <w:p>
            <w:pPr>
              <w:adjustRightInd w:val="0"/>
              <w:snapToGrid w:val="0"/>
              <w:spacing w:line="100" w:lineRule="atLeas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1.及时掌握隧道状况；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2.严格落实隧道安全运行管理制度；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3.保障人财物供给，保持隧道和各类附属设施完好；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4.及时有效应对各类突发险情；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1.健全并落实各项安全管理规程和技术规范；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2.加强隧道管养专业化队伍建设，开展日常巡查、经常性检查、定期检查、特殊检查，及时发现隐患，做好警示和管控措施；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3.建立隧道及附属设施档案，定期对隧道技术状况进行检测与评定；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4.发现违法爆破、超速、变道、停车、超限超载等违法行为，积极协调有关部门，凝聚合力，及时消除安全隐患；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5.及时修复受损设施和安全标志标线；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6.针对桥梁可能发生的各类事故事件情形编制应急预案，配备应急装备并确保完好，定期组织演练；属于重大危险源的，预案报属地政府相关部门备案；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7.加强值班值守，确保监控正常使用；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8.极端天气情况做好信息发布和预警提示，交通分流工作；</w:t>
            </w:r>
          </w:p>
          <w:p>
            <w:pPr>
              <w:adjustRightInd w:val="0"/>
              <w:snapToGrid w:val="0"/>
              <w:rPr>
                <w:rFonts w:eastAsia="方正仿宋_GB2312"/>
                <w:b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9. ……。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3-3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连续长陡下坡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1.未按要求实施提升公路连续长陡下坡路段安全通行能力专项行动。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2.未按规定设置、养护交通安全设施。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3.雨雾冰冻天气情况下，未根据需要实行交通管控。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4.高速公路交通流量大、重载车辆多，易发生交通事故，影响通行安全。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1.掌握路段现状；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2.执行交通管理措施、工程技术措施等制度；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3.保障人财物供给，保持路面使用性能和各类附属设施完好；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4.保持各类安全标识完好；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5.及时有效应对各类突发险情；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1.按照“科学排查、分类处治、部门联动、综合施策”原则做好人、车、路管理；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2.健全并落实各项安全操作规程和技术规范；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3.会同有关部门在做好日常隐患排查处治的同时加强对超限车辆、危化品车辆、疲劳驾驶等重点隐患监管力度；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4.针对连续长陡下坡可能发生的各类事故事件情形编制应急预案，配齐配强应急救援队伍，配备应急装备并确保完好，定期组织演练；预案报属地政府相关部门备案；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5.及时修复受损设施和安全标志标线；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6.加强值班值守，确保监控正常使用；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7.极端天气情况做好信息发布和预警提示，交通分流工作；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b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8. ……。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3-4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在役独柱墩桥梁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hint="eastAsia" w:eastAsia="方正仿宋_GB2312"/>
                <w:sz w:val="21"/>
                <w:szCs w:val="21"/>
              </w:rPr>
              <w:t>1</w:t>
            </w:r>
            <w:r>
              <w:rPr>
                <w:rFonts w:eastAsia="方正仿宋_GB2312"/>
                <w:sz w:val="21"/>
                <w:szCs w:val="21"/>
              </w:rPr>
              <w:t>.运输车辆单侧集中停放或通行，及超限超载车辆违法通行，导致独柱墩桥梁倾覆、垮塌和出现结构性病害，影响通行安全。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1.掌握在役独柱墩桥梁信息；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2.保持独柱墩结构及附属设施运行状况良好；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3.及时发现并处理偏压、超限等隐患，确保独柱墩桥梁运行安全；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4.及时、有效处置独柱墩桥梁倾覆、垮塌和出现结构性病害等各类险情。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1.按照交通部专项提升行动要求进行整治；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2.健全各项安全操作规程；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3.会同有关部门在做好日常隐患排查处治的同时加强对超限车辆、危化品车辆、疲劳驾驶等重点隐患和极端天气下监管力度；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4.针对在役独柱墩桥梁可能发生的各类事故事件情形编制应急预案，配齐配强应急救援队伍，配备应急装备并确保完好，定期组织演练；预案报属地政府相关部门备案；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5.极端天气情况做好信息发布和预警提示，交通分流工作；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 ……。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3-5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临水临崖路段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1.未按标准规范和指南进行护栏等交通安全设施设计，防护等级。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2.未按规范进行安防设施施工，施工质量不合格。3.未按规定开展交通安全设施管理养护。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1.掌握路段现状；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2.执行交通管理措施、工程技术措施等制度；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3.保障人财物供给，保持路面使用性能和各类附属设施完好；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4.保持各类安全标识完好；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5.及时有效应对各类突发险情；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1.严格落实安防工程建设“三同时”制度，按标准规范和指南进行安全设施设计；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2.严把施工验收关；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3.按照规范要求做好交通安全设施养护工作，及时修复破损护栏，清洗安全标志标线；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4.建立专业抢险应急队伍，配备专业抢险应急装备，定期组织开展应急处置演练。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3-6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危险货物运输车辆流量大的公路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1.危险货物运输车引发道路交通事故导致危险货物泄漏，应急处置难度大。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 xml:space="preserve">2.港口危险货物集中区域交通主干道危货车流量大，车辆长时间聚集、停放堵塞道路、应急车道。3.相关道路管理、运营部门应急物资储备不足，应急处置能力不强。 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1.掌握路段现状；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2.做好重大风险防控工作，及时有效应对各类突发险情；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3.保障人财物供给，保持路段和安全附属设施完好；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1.加强危险货物运输车辆动态监控和跨区域运输信息共享，对车辆行驶轨迹、驾驶员状况及车辆技术状况全程进行监控；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2.合理设定港口危险货物集中区域危险货物车辆作业时间、通行路线，避免车辆聚集；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3.相关路段管理、运营部门应按要求配置应急救援物资，制定危险货物车辆事故应急处置方案并向交通、公安、应急管理等部门报备，建立事故应急救援联动协调机制；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 ……。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3-7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流量较大的二级以上公路在通车情况下实施养护作业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1.作业现场未做好防护隔离、警示告知和作业人员防护措施。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2.相关作业队伍资质、专业性不符合要求，作业人员作业不规范。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3.非作业车辆闯入作业区。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1.严格执行涉路施工作业许可制度；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2.掌握路段现状；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3.做好重大风险防控工作，及时有效应对各类突发险情；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4.保障人财物供给，保持路段和安全附属设施完好；</w:t>
            </w:r>
          </w:p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1.根据养护作业情况，合理设置通行条件和通行时间。2.采用公众号、微博、告知牌、情报板、广播电视等多种形式做好此类作业期间的道路通行情报告知工作；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3.加强作业队伍管理，按照相关作业技术规范做好警示告知和作业区隔离防护；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养护作业现场应平面布置合理、物料堆放整洁、机械设备停放有序，养护机械或材料不得堆放于控制区外。5.作业期间加强路警联动、情报互通，维护施工路段交通秩序，作业路段发生事故应及时处置避免发生道路拥堵；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6.完工后及时做好清理、交接或验收工作。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3-8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公铁并行交汇处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1.货运车辆超限运输、随意抛洒。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2.公路范围发生车祸影响到铁路等事件。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3.公铁联防联控信息不畅。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1.严格执行公铁并行安全技术规范；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2.掌握路段现状；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3.做好重大风险防控工作，及时有效应对各类突发险情；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4.保障人财物供给，保持路段和安全附属设施完好；</w:t>
            </w:r>
          </w:p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 ……。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1.针对防超限、防抛洒、防碰撞和提高防护等级等交通防范重点，对公铁交汇处风险隐患进行辨识、排查，采取设置限高防护架、防抛网、加强护栏等级等措施，加强隐患治理，及时消除安全隐患；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2.突出“信息互通、隐患互查、应急互动”，建立健全省、市、县三级公路、铁路安全应急央地信息联动暨联防联控机制，共同抓好公铁并行交汇处安全管理工作。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XXX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BC0423C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3803A05"/>
    <w:rsid w:val="585208C9"/>
    <w:rsid w:val="5BC0423C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34</Characters>
  <Lines>0</Lines>
  <Paragraphs>0</Paragraphs>
  <TotalTime>0</TotalTime>
  <ScaleCrop>false</ScaleCrop>
  <LinksUpToDate>false</LinksUpToDate>
  <CharactersWithSpaces>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2023-03-03T01:45:00Z</dcterms:created>
  <dc:creator>孙瑞</dc:creator>
  <cp:lastModifiedBy>孙瑞</cp:lastModifiedBy>
  <dcterms:modified xsi:type="dcterms:W3CDTF">2023-03-03T01:45:41Z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592BF7C435904F45A9E7BDE40EA98A8F</vt:lpwstr>
  </property>
</Properties>
</file>