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r>
        <w:rPr>
          <w:rFonts w:eastAsia="黑体"/>
          <w:bCs/>
          <w:sz w:val="32"/>
          <w:szCs w:val="32"/>
        </w:rPr>
        <w:t>四川省高速公路运营企业</w:t>
      </w:r>
      <w:r>
        <w:rPr>
          <w:rFonts w:hint="eastAsia" w:eastAsia="黑体"/>
          <w:bCs/>
          <w:sz w:val="32"/>
          <w:szCs w:val="32"/>
          <w:lang w:eastAsia="zh-CN"/>
        </w:rPr>
        <w:t>重大</w:t>
      </w:r>
      <w:r>
        <w:rPr>
          <w:rFonts w:eastAsia="黑体"/>
          <w:bCs/>
          <w:sz w:val="32"/>
          <w:szCs w:val="32"/>
        </w:rPr>
        <w:t>风险管控清单参考模板</w:t>
      </w:r>
    </w:p>
    <w:tbl>
      <w:tblPr>
        <w:tblStyle w:val="12"/>
        <w:tblW w:w="14865" w:type="dxa"/>
        <w:jc w:val="center"/>
        <w:tblLayout w:type="fixed"/>
        <w:tblCellMar>
          <w:top w:w="0" w:type="dxa"/>
          <w:left w:w="0" w:type="dxa"/>
          <w:bottom w:w="0" w:type="dxa"/>
          <w:right w:w="0" w:type="dxa"/>
        </w:tblCellMar>
      </w:tblPr>
      <w:tblGrid>
        <w:gridCol w:w="733"/>
        <w:gridCol w:w="1654"/>
        <w:gridCol w:w="1756"/>
        <w:gridCol w:w="3379"/>
        <w:gridCol w:w="5761"/>
        <w:gridCol w:w="853"/>
        <w:gridCol w:w="729"/>
      </w:tblGrid>
      <w:tr>
        <w:tblPrEx>
          <w:tblCellMar>
            <w:top w:w="0" w:type="dxa"/>
            <w:left w:w="0" w:type="dxa"/>
            <w:bottom w:w="0" w:type="dxa"/>
            <w:right w:w="0" w:type="dxa"/>
          </w:tblCellMar>
        </w:tblPrEx>
        <w:trPr>
          <w:trHeight w:val="514" w:hRule="atLeast"/>
          <w:tblHeader/>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80" w:lineRule="exact"/>
              <w:jc w:val="center"/>
              <w:textAlignment w:val="center"/>
              <w:rPr>
                <w:rFonts w:eastAsia="黑体"/>
                <w:bCs/>
                <w:sz w:val="24"/>
              </w:rPr>
            </w:pPr>
            <w:r>
              <w:rPr>
                <w:rFonts w:eastAsia="黑体"/>
                <w:bCs/>
                <w:sz w:val="24"/>
                <w:lang w:bidi="ar"/>
              </w:rPr>
              <w:t>序号</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textAlignment w:val="center"/>
              <w:rPr>
                <w:rFonts w:hint="eastAsia" w:eastAsia="黑体"/>
                <w:bCs/>
                <w:sz w:val="24"/>
                <w:lang w:eastAsia="zh-CN"/>
              </w:rPr>
            </w:pPr>
            <w:r>
              <w:rPr>
                <w:rFonts w:hint="eastAsia" w:eastAsia="黑体"/>
                <w:bCs/>
                <w:sz w:val="24"/>
                <w:lang w:bidi="ar"/>
              </w:rPr>
              <w:t>风险点位</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textAlignment w:val="center"/>
              <w:rPr>
                <w:rFonts w:eastAsia="黑体"/>
                <w:bCs/>
                <w:sz w:val="24"/>
                <w:lang w:bidi="ar"/>
              </w:rPr>
            </w:pPr>
            <w:r>
              <w:rPr>
                <w:rFonts w:eastAsia="黑体"/>
                <w:bCs/>
                <w:sz w:val="24"/>
                <w:lang w:bidi="ar"/>
              </w:rPr>
              <w:t>主要风险概述</w:t>
            </w: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textAlignment w:val="center"/>
              <w:rPr>
                <w:rFonts w:eastAsia="黑体"/>
                <w:bCs/>
                <w:sz w:val="24"/>
              </w:rPr>
            </w:pPr>
            <w:r>
              <w:rPr>
                <w:rFonts w:hint="eastAsia" w:eastAsia="黑体"/>
                <w:bCs/>
                <w:sz w:val="24"/>
              </w:rPr>
              <w:t>主要致险情景</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textAlignment w:val="center"/>
              <w:rPr>
                <w:rFonts w:eastAsia="黑体"/>
                <w:bCs/>
                <w:sz w:val="24"/>
              </w:rPr>
            </w:pPr>
            <w:r>
              <w:rPr>
                <w:rFonts w:hint="eastAsia" w:eastAsia="黑体"/>
                <w:bCs/>
                <w:sz w:val="24"/>
                <w:lang w:bidi="ar"/>
              </w:rPr>
              <w:t>防控要点</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textAlignment w:val="center"/>
              <w:rPr>
                <w:rFonts w:eastAsia="黑体"/>
                <w:bCs/>
                <w:sz w:val="24"/>
              </w:rPr>
            </w:pPr>
            <w:r>
              <w:rPr>
                <w:rFonts w:eastAsia="黑体"/>
                <w:bCs/>
                <w:sz w:val="24"/>
                <w:lang w:bidi="ar"/>
              </w:rPr>
              <w:t>责任人</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textAlignment w:val="center"/>
              <w:rPr>
                <w:rFonts w:hint="eastAsia" w:eastAsia="黑体"/>
                <w:bCs/>
                <w:sz w:val="24"/>
                <w:lang w:eastAsia="zh-CN" w:bidi="ar"/>
              </w:rPr>
            </w:pPr>
            <w:r>
              <w:rPr>
                <w:rFonts w:hint="eastAsia" w:eastAsia="黑体"/>
                <w:bCs/>
                <w:sz w:val="24"/>
                <w:lang w:eastAsia="zh-CN" w:bidi="ar"/>
              </w:rPr>
              <w:t>备注</w:t>
            </w:r>
          </w:p>
        </w:tc>
      </w:tr>
      <w:tr>
        <w:tblPrEx>
          <w:tblCellMar>
            <w:top w:w="0" w:type="dxa"/>
            <w:left w:w="0" w:type="dxa"/>
            <w:bottom w:w="0" w:type="dxa"/>
            <w:right w:w="0" w:type="dxa"/>
          </w:tblCellMar>
        </w:tblPrEx>
        <w:trPr>
          <w:trHeight w:val="3309" w:hRule="atLeast"/>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80" w:lineRule="exact"/>
              <w:jc w:val="center"/>
              <w:rPr>
                <w:rFonts w:hint="eastAsia" w:eastAsia="宋体"/>
                <w:bCs/>
                <w:sz w:val="24"/>
                <w:lang w:eastAsia="zh-CN"/>
              </w:rPr>
            </w:pPr>
            <w:r>
              <w:rPr>
                <w:rFonts w:hint="eastAsia"/>
                <w:bCs/>
                <w:sz w:val="24"/>
                <w:lang w:val="en-US" w:eastAsia="zh-CN"/>
              </w:rPr>
              <w:t>1</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eastAsia="黑体"/>
                <w:bCs w:val="0"/>
                <w:sz w:val="24"/>
                <w:szCs w:val="24"/>
              </w:rPr>
            </w:pPr>
            <w:r>
              <w:rPr>
                <w:rFonts w:hint="eastAsia" w:eastAsia="黑体"/>
                <w:bCs w:val="0"/>
                <w:color w:val="000000"/>
                <w:sz w:val="24"/>
                <w:szCs w:val="24"/>
              </w:rPr>
              <w:t>特长隧道和</w:t>
            </w:r>
          </w:p>
          <w:p>
            <w:pPr>
              <w:spacing w:line="360" w:lineRule="auto"/>
              <w:jc w:val="center"/>
              <w:rPr>
                <w:bCs/>
                <w:color w:val="000000"/>
                <w:sz w:val="28"/>
                <w:szCs w:val="28"/>
              </w:rPr>
            </w:pPr>
            <w:r>
              <w:rPr>
                <w:rFonts w:hint="eastAsia" w:eastAsia="黑体"/>
                <w:bCs w:val="0"/>
                <w:color w:val="000000"/>
                <w:sz w:val="24"/>
                <w:szCs w:val="24"/>
              </w:rPr>
              <w:t>隧道群</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default" w:eastAsia="仿宋_GB2312"/>
                <w:bCs/>
                <w:color w:val="000000"/>
                <w:kern w:val="0"/>
                <w:sz w:val="21"/>
              </w:rPr>
            </w:pPr>
            <w:r>
              <w:rPr>
                <w:rFonts w:hint="default" w:eastAsia="仿宋_GB2312"/>
                <w:bCs/>
                <w:color w:val="000000"/>
                <w:kern w:val="0"/>
                <w:sz w:val="21"/>
              </w:rPr>
              <w:t>我省普通国省干线公路特长隧道31座（按单洞计），高速公路特长隧道139座（按单洞计），隧道群目前主要集中在三州、雅安地区，高速公路主要为雅康高速公路泸定至康定段。</w:t>
            </w: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隧道内违规通行危化品运输车辆</w:t>
            </w:r>
            <w:r>
              <w:rPr>
                <w:rFonts w:hint="eastAsia" w:eastAsia="仿宋_GB2312"/>
                <w:bCs/>
                <w:kern w:val="0"/>
                <w:sz w:val="21"/>
                <w:lang w:eastAsia="zh-CN"/>
              </w:rPr>
              <w:t>。</w:t>
            </w:r>
          </w:p>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2.隧道内车辆超速、变线、远光灯等违法违规行驶</w:t>
            </w:r>
            <w:r>
              <w:rPr>
                <w:rFonts w:hint="eastAsia" w:eastAsia="仿宋_GB2312"/>
                <w:bCs/>
                <w:kern w:val="0"/>
                <w:sz w:val="21"/>
                <w:lang w:eastAsia="zh-CN"/>
              </w:rPr>
              <w:t>。</w:t>
            </w:r>
          </w:p>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3.隧道发生土建结构病害及透水病害未及时处治。隧道内监控、通风、照明、消防以及紧急电话、横通道门等设施设备出现故障未及时处理或不启用机电设备，有害气体浓度严重超标，影响通行安全</w:t>
            </w:r>
            <w:r>
              <w:rPr>
                <w:rFonts w:hint="eastAsia" w:eastAsia="仿宋_GB2312"/>
                <w:bCs/>
                <w:kern w:val="0"/>
                <w:sz w:val="21"/>
                <w:lang w:eastAsia="zh-CN"/>
              </w:rPr>
              <w:t>。</w:t>
            </w:r>
          </w:p>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4.隧道口出现冻雨冰雪灾害等极端天气，危及车辆运行安全</w:t>
            </w:r>
            <w:r>
              <w:rPr>
                <w:rFonts w:hint="eastAsia" w:eastAsia="仿宋_GB2312"/>
                <w:bCs/>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5.客货运输车辆在隧道发生事故后应急救援难度较大，特别是涉及危险货物运输车辆事故，一旦发生二次事故后果严重。</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eastAsia" w:eastAsia="仿宋_GB2312"/>
                <w:bCs/>
                <w:kern w:val="0"/>
                <w:sz w:val="21"/>
                <w:lang w:eastAsia="zh-CN"/>
              </w:rPr>
            </w:pPr>
            <w:r>
              <w:rPr>
                <w:rFonts w:hint="default" w:eastAsia="仿宋_GB2312"/>
                <w:bCs/>
                <w:color w:val="000000"/>
                <w:kern w:val="0"/>
                <w:sz w:val="21"/>
              </w:rPr>
              <w:t>1.严格落实《公路长大桥隧养护管理和安全运行若干规定》有关要求，加强隧道管养专业化队伍建设，开展日常巡查、经常性检查、定期检查和特殊检查，按规定对隧道技术状况进行专业监测检测评估，采取针对性防范措施，保障隧道处于良好技术状态</w:t>
            </w:r>
            <w:r>
              <w:rPr>
                <w:rFonts w:hint="eastAsia" w:eastAsia="仿宋_GB2312"/>
                <w:bCs/>
                <w:kern w:val="0"/>
                <w:sz w:val="21"/>
                <w:lang w:eastAsia="zh-CN"/>
              </w:rPr>
              <w:t>。</w:t>
            </w:r>
          </w:p>
          <w:p>
            <w:pPr>
              <w:ind w:left="21"/>
              <w:jc w:val="left"/>
              <w:rPr>
                <w:rFonts w:hint="eastAsia" w:eastAsia="仿宋_GB2312"/>
                <w:bCs/>
                <w:kern w:val="0"/>
                <w:sz w:val="21"/>
                <w:lang w:eastAsia="zh-CN"/>
              </w:rPr>
            </w:pPr>
            <w:r>
              <w:rPr>
                <w:rFonts w:hint="default" w:eastAsia="仿宋_GB2312"/>
                <w:bCs/>
                <w:color w:val="000000"/>
                <w:kern w:val="0"/>
                <w:sz w:val="21"/>
              </w:rPr>
              <w:t>2.协调公安交警部门加强隧道路段车速控制，结合路段实际，规范设置警示标志、限速标志和标线设施，配合公安部门做好危化品车辆通行管控那个</w:t>
            </w:r>
            <w:r>
              <w:rPr>
                <w:rFonts w:hint="eastAsia" w:eastAsia="仿宋_GB2312"/>
                <w:bCs/>
                <w:kern w:val="0"/>
                <w:sz w:val="21"/>
                <w:lang w:eastAsia="zh-CN"/>
              </w:rPr>
              <w:t>。</w:t>
            </w:r>
          </w:p>
          <w:p>
            <w:pPr>
              <w:ind w:left="21"/>
              <w:jc w:val="left"/>
              <w:rPr>
                <w:rFonts w:hint="eastAsia" w:eastAsia="仿宋_GB2312"/>
                <w:bCs/>
                <w:kern w:val="0"/>
                <w:sz w:val="21"/>
                <w:lang w:eastAsia="zh-CN"/>
              </w:rPr>
            </w:pPr>
            <w:r>
              <w:rPr>
                <w:rFonts w:hint="default" w:eastAsia="仿宋_GB2312"/>
                <w:bCs/>
                <w:color w:val="000000"/>
                <w:kern w:val="0"/>
                <w:sz w:val="21"/>
              </w:rPr>
              <w:t>3.配置必要的应急人员、设备，加强应急设备维护和应急救援队伍的业务培训，健全完善隧道突发事件应急预案并加强应急演练，提高应急处置能力，高速公路强化“一路四方”应急联动</w:t>
            </w:r>
            <w:r>
              <w:rPr>
                <w:rFonts w:hint="eastAsia" w:eastAsia="仿宋_GB2312"/>
                <w:bCs/>
                <w:kern w:val="0"/>
                <w:sz w:val="21"/>
                <w:lang w:eastAsia="zh-CN"/>
              </w:rPr>
              <w:t>。</w:t>
            </w:r>
          </w:p>
          <w:p>
            <w:pPr>
              <w:ind w:left="21"/>
              <w:jc w:val="left"/>
              <w:rPr>
                <w:rFonts w:hint="eastAsia" w:eastAsia="仿宋_GB2312"/>
                <w:bCs/>
                <w:kern w:val="0"/>
                <w:sz w:val="21"/>
                <w:lang w:eastAsia="zh-CN"/>
              </w:rPr>
            </w:pPr>
            <w:r>
              <w:rPr>
                <w:rFonts w:hint="default" w:eastAsia="仿宋_GB2312"/>
                <w:bCs/>
                <w:color w:val="000000"/>
                <w:kern w:val="0"/>
                <w:sz w:val="21"/>
              </w:rPr>
              <w:t>4.加强隧道值班值守，确保监控正常使用，隧道横通门可正常打开，应急电话可拨打并接通</w:t>
            </w:r>
            <w:r>
              <w:rPr>
                <w:rFonts w:hint="eastAsia" w:eastAsia="仿宋_GB2312"/>
                <w:bCs/>
                <w:kern w:val="0"/>
                <w:sz w:val="21"/>
                <w:lang w:eastAsia="zh-CN"/>
              </w:rPr>
              <w:t>。</w:t>
            </w:r>
          </w:p>
          <w:p>
            <w:pPr>
              <w:ind w:left="21"/>
              <w:jc w:val="left"/>
              <w:rPr>
                <w:rFonts w:hint="eastAsia" w:eastAsia="仿宋_GB2312"/>
                <w:bCs/>
                <w:kern w:val="0"/>
                <w:sz w:val="21"/>
                <w:lang w:eastAsia="zh-CN"/>
              </w:rPr>
            </w:pPr>
            <w:r>
              <w:rPr>
                <w:rFonts w:hint="default" w:eastAsia="仿宋_GB2312"/>
                <w:bCs/>
                <w:color w:val="000000"/>
                <w:kern w:val="0"/>
                <w:sz w:val="21"/>
              </w:rPr>
              <w:t>5.加强隧道运营经费保障力度，确保隧道照明等机电设备有效运转</w:t>
            </w:r>
            <w:r>
              <w:rPr>
                <w:rFonts w:hint="eastAsia" w:eastAsia="仿宋_GB2312"/>
                <w:bCs/>
                <w:kern w:val="0"/>
                <w:sz w:val="21"/>
                <w:lang w:eastAsia="zh-CN"/>
              </w:rPr>
              <w:t>。</w:t>
            </w:r>
          </w:p>
          <w:p>
            <w:pPr>
              <w:ind w:left="21"/>
              <w:jc w:val="left"/>
              <w:rPr>
                <w:rFonts w:eastAsia="仿宋_GB2312"/>
                <w:bCs/>
                <w:color w:val="000000"/>
                <w:kern w:val="0"/>
                <w:sz w:val="21"/>
              </w:rPr>
            </w:pPr>
            <w:r>
              <w:rPr>
                <w:rFonts w:hint="default" w:eastAsia="仿宋_GB2312"/>
                <w:bCs/>
                <w:color w:val="000000"/>
                <w:kern w:val="0"/>
                <w:sz w:val="21"/>
              </w:rPr>
              <w:t>6.雨雪冰冻天气时，通过可变情报板等提前告知隧道洞口冰冻风险，并设置警示标志。</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r>
              <w:rPr>
                <w:rFonts w:eastAsia="仿宋"/>
                <w:bCs/>
                <w:sz w:val="24"/>
              </w:rPr>
              <w:t>XXX</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r>
      <w:tr>
        <w:tblPrEx>
          <w:tblCellMar>
            <w:top w:w="0" w:type="dxa"/>
            <w:left w:w="0" w:type="dxa"/>
            <w:bottom w:w="0" w:type="dxa"/>
            <w:right w:w="0" w:type="dxa"/>
          </w:tblCellMar>
        </w:tblPrEx>
        <w:trPr>
          <w:trHeight w:val="2837" w:hRule="atLeast"/>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snapToGrid/>
              <w:spacing w:line="240" w:lineRule="auto"/>
              <w:jc w:val="center"/>
              <w:rPr>
                <w:rFonts w:hint="eastAsia" w:eastAsia="黑体"/>
                <w:bCs w:val="0"/>
                <w:sz w:val="24"/>
                <w:lang w:eastAsia="zh-CN"/>
              </w:rPr>
            </w:pPr>
            <w:r>
              <w:rPr>
                <w:rFonts w:hint="eastAsia" w:eastAsia="黑体"/>
                <w:bCs w:val="0"/>
                <w:sz w:val="24"/>
                <w:lang w:val="en-US" w:eastAsia="zh-CN"/>
              </w:rPr>
              <w:t>2</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eastAsia="黑体"/>
                <w:bCs w:val="0"/>
                <w:color w:val="000000"/>
                <w:sz w:val="24"/>
                <w:szCs w:val="24"/>
              </w:rPr>
            </w:pPr>
            <w:r>
              <w:rPr>
                <w:rFonts w:hint="eastAsia" w:eastAsia="黑体"/>
                <w:bCs w:val="0"/>
                <w:color w:val="000000"/>
                <w:sz w:val="24"/>
                <w:szCs w:val="24"/>
              </w:rPr>
              <w:t>连续长陡下坡路段</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eastAsia="仿宋_GB2312"/>
                <w:bCs/>
                <w:color w:val="000000"/>
                <w:kern w:val="0"/>
                <w:sz w:val="21"/>
              </w:rPr>
            </w:pPr>
            <w:r>
              <w:rPr>
                <w:rFonts w:hint="default" w:eastAsia="仿宋_GB2312"/>
                <w:bCs/>
                <w:color w:val="000000"/>
                <w:kern w:val="0"/>
                <w:sz w:val="21"/>
              </w:rPr>
              <w:t>按照《提升公路连续长陡下坡路段安全通行能力专项行动技术指南》要求，我省公路连续长陡下坡路段有81段（其中高速公路2段，普通公路79段），普通公路主要集中在山区农村公路，高速公路连续长陡下坡路段主要集中在纳黔高速、雅西高速。</w:t>
            </w: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2"/>
              </w:numPr>
              <w:ind w:left="21"/>
              <w:jc w:val="left"/>
              <w:rPr>
                <w:rFonts w:hint="default" w:eastAsia="仿宋_GB2312"/>
                <w:bCs/>
                <w:kern w:val="0"/>
                <w:sz w:val="21"/>
              </w:rPr>
            </w:pPr>
            <w:r>
              <w:rPr>
                <w:rFonts w:hint="default" w:eastAsia="仿宋_GB2312"/>
                <w:bCs/>
                <w:color w:val="000000"/>
                <w:kern w:val="0"/>
                <w:sz w:val="21"/>
              </w:rPr>
              <w:t>未按要求实施提升公路连续长陡下坡路段安全通行能力专项行动</w:t>
            </w:r>
            <w:r>
              <w:rPr>
                <w:rFonts w:hint="eastAsia" w:eastAsia="仿宋_GB2312"/>
                <w:bCs/>
                <w:color w:val="000000"/>
                <w:kern w:val="0"/>
                <w:sz w:val="21"/>
                <w:lang w:eastAsia="zh-CN"/>
              </w:rPr>
              <w:t>。</w:t>
            </w:r>
          </w:p>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未按规定设置、养护交通安全设施</w:t>
            </w:r>
            <w:r>
              <w:rPr>
                <w:rFonts w:hint="eastAsia" w:eastAsia="仿宋_GB2312"/>
                <w:bCs/>
                <w:kern w:val="0"/>
                <w:sz w:val="21"/>
                <w:lang w:eastAsia="zh-CN"/>
              </w:rPr>
              <w:t>。</w:t>
            </w:r>
          </w:p>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3.雨雾冰冻天气情况下，未根据需要实行交通管控</w:t>
            </w:r>
            <w:r>
              <w:rPr>
                <w:rFonts w:hint="eastAsia" w:eastAsia="仿宋_GB2312"/>
                <w:bCs/>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4.高速公路交通流量大、重载车辆多、建设指标偏低，易发生交通事故，影响通行安全。</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eastAsia" w:eastAsia="仿宋_GB2312"/>
                <w:bCs/>
                <w:kern w:val="0"/>
                <w:sz w:val="21"/>
                <w:lang w:eastAsia="zh-CN"/>
              </w:rPr>
            </w:pPr>
            <w:r>
              <w:rPr>
                <w:rFonts w:hint="default" w:eastAsia="仿宋_GB2312"/>
                <w:bCs/>
                <w:color w:val="000000"/>
                <w:kern w:val="0"/>
                <w:sz w:val="21"/>
              </w:rPr>
              <w:t>1.严格落实《提升公路连续长陡下坡路段安全通行能力专项行动技术指南》有关要求，综合采取交通管理措施和工程技术措施，对连续长陡下坡路段进行处置</w:t>
            </w:r>
            <w:r>
              <w:rPr>
                <w:rFonts w:hint="eastAsia" w:eastAsia="仿宋_GB2312"/>
                <w:bCs/>
                <w:kern w:val="0"/>
                <w:sz w:val="21"/>
                <w:lang w:eastAsia="zh-CN"/>
              </w:rPr>
              <w:t>。</w:t>
            </w:r>
          </w:p>
          <w:p>
            <w:pPr>
              <w:ind w:left="21"/>
              <w:jc w:val="left"/>
              <w:rPr>
                <w:rFonts w:hint="eastAsia" w:eastAsia="仿宋_GB2312"/>
                <w:bCs/>
                <w:kern w:val="0"/>
                <w:sz w:val="21"/>
                <w:lang w:eastAsia="zh-CN"/>
              </w:rPr>
            </w:pPr>
            <w:r>
              <w:rPr>
                <w:rFonts w:hint="default" w:eastAsia="仿宋_GB2312"/>
                <w:bCs/>
                <w:color w:val="000000"/>
                <w:kern w:val="0"/>
                <w:sz w:val="21"/>
              </w:rPr>
              <w:t>2.按标准规范和指南做好交通安全设施养护工作，及时修复破损护栏，清洗反光标志等交安设施保持反光效果</w:t>
            </w:r>
            <w:r>
              <w:rPr>
                <w:rFonts w:hint="eastAsia" w:eastAsia="仿宋_GB2312"/>
                <w:bCs/>
                <w:kern w:val="0"/>
                <w:sz w:val="21"/>
                <w:lang w:eastAsia="zh-CN"/>
              </w:rPr>
              <w:t>。</w:t>
            </w:r>
          </w:p>
          <w:p>
            <w:pPr>
              <w:ind w:left="21"/>
              <w:jc w:val="left"/>
              <w:rPr>
                <w:rFonts w:hint="eastAsia" w:eastAsia="仿宋_GB2312"/>
                <w:bCs/>
                <w:kern w:val="0"/>
                <w:sz w:val="21"/>
                <w:lang w:eastAsia="zh-CN"/>
              </w:rPr>
            </w:pPr>
            <w:r>
              <w:rPr>
                <w:rFonts w:hint="default" w:eastAsia="仿宋_GB2312"/>
                <w:bCs/>
                <w:color w:val="000000"/>
                <w:kern w:val="0"/>
                <w:sz w:val="21"/>
              </w:rPr>
              <w:t>3.协调公安交警部门加强连续长陡下坡路段车速控制，结合路段实际，规范设置警示标志、限速标志和标线设施</w:t>
            </w:r>
            <w:r>
              <w:rPr>
                <w:rFonts w:hint="eastAsia" w:eastAsia="仿宋_GB2312"/>
                <w:bCs/>
                <w:kern w:val="0"/>
                <w:sz w:val="21"/>
                <w:lang w:eastAsia="zh-CN"/>
              </w:rPr>
              <w:t>。</w:t>
            </w:r>
          </w:p>
          <w:p>
            <w:pPr>
              <w:ind w:left="21"/>
              <w:jc w:val="left"/>
              <w:rPr>
                <w:rFonts w:eastAsia="仿宋_GB2312"/>
                <w:bCs/>
                <w:color w:val="000000"/>
                <w:kern w:val="0"/>
                <w:sz w:val="21"/>
              </w:rPr>
            </w:pPr>
            <w:r>
              <w:rPr>
                <w:rFonts w:hint="default" w:eastAsia="仿宋_GB2312"/>
                <w:bCs/>
                <w:color w:val="000000"/>
                <w:kern w:val="0"/>
                <w:sz w:val="21"/>
              </w:rPr>
              <w:t>4.针对雨雾冰冻天气，通过手机APP可变情报板等提前发出预警信息。协调公安交警部门进行交通管制，同时，做好公路除冰除雪等保通保畅工作。</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r>
              <w:rPr>
                <w:rFonts w:eastAsia="仿宋"/>
                <w:bCs/>
                <w:sz w:val="24"/>
              </w:rPr>
              <w:t>XXX</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r>
      <w:tr>
        <w:tblPrEx>
          <w:tblCellMar>
            <w:top w:w="0" w:type="dxa"/>
            <w:left w:w="0" w:type="dxa"/>
            <w:bottom w:w="0" w:type="dxa"/>
            <w:right w:w="0" w:type="dxa"/>
          </w:tblCellMar>
        </w:tblPrEx>
        <w:trPr>
          <w:trHeight w:val="2947" w:hRule="atLeast"/>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80" w:lineRule="exact"/>
              <w:jc w:val="center"/>
              <w:rPr>
                <w:rFonts w:hint="eastAsia" w:eastAsia="宋体"/>
                <w:bCs/>
                <w:sz w:val="24"/>
                <w:lang w:eastAsia="zh-CN"/>
              </w:rPr>
            </w:pPr>
            <w:r>
              <w:rPr>
                <w:rFonts w:hint="eastAsia"/>
                <w:bCs/>
                <w:sz w:val="24"/>
                <w:lang w:val="en-US" w:eastAsia="zh-CN"/>
              </w:rPr>
              <w:t>3</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eastAsia="黑体"/>
                <w:bCs w:val="0"/>
                <w:color w:val="000000"/>
                <w:sz w:val="24"/>
                <w:szCs w:val="24"/>
              </w:rPr>
            </w:pPr>
            <w:r>
              <w:rPr>
                <w:rFonts w:hint="eastAsia" w:eastAsia="黑体"/>
                <w:bCs w:val="0"/>
                <w:color w:val="000000"/>
                <w:sz w:val="24"/>
                <w:szCs w:val="24"/>
              </w:rPr>
              <w:t>高速公路多车连环碰撞</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eastAsia="仿宋_GB2312"/>
                <w:bCs/>
                <w:color w:val="000000"/>
                <w:sz w:val="24"/>
              </w:rPr>
            </w:pP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eastAsia="仿宋_GB2312"/>
                <w:bCs/>
                <w:color w:val="000000"/>
                <w:kern w:val="0"/>
                <w:sz w:val="21"/>
              </w:rPr>
            </w:pPr>
            <w:r>
              <w:rPr>
                <w:rFonts w:hint="default" w:eastAsia="仿宋_GB2312"/>
                <w:bCs/>
                <w:color w:val="000000"/>
                <w:kern w:val="0"/>
                <w:sz w:val="21"/>
              </w:rPr>
              <w:t>出现团雾、结冰等易发生严重堵塞情况 的高速公路出入口，特别是在节假日免收通行费期间一旦车辆严重堵塞，发生车辆碰撞引发连锁反应，应急救助相对困难。</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default" w:eastAsia="仿宋_GB2312"/>
                <w:bCs/>
                <w:kern w:val="0"/>
                <w:sz w:val="21"/>
              </w:rPr>
            </w:pPr>
            <w:r>
              <w:rPr>
                <w:rFonts w:hint="default" w:eastAsia="仿宋_GB2312"/>
                <w:bCs/>
                <w:color w:val="000000"/>
                <w:kern w:val="0"/>
                <w:sz w:val="21"/>
              </w:rPr>
              <w:t>按照《中华人民共和国公路法》《公路安全保护条例》《收费公路管理条例》等法律法规和相关技术标准规范要求做好重大风险防控工作。</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高速公路运营单位应加强车流量的研判，识别分析车辆大规模堵塞、聚集原因，制定应对措施</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2.免收通行费期间应采取多种途径多种方式加强道路信息的报送和告知</w:t>
            </w:r>
            <w:r>
              <w:rPr>
                <w:rFonts w:hint="eastAsia" w:eastAsia="仿宋_GB2312"/>
                <w:bCs/>
                <w:color w:val="000000"/>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3.制定应急预案，开展针对性应急演练，加强路警联动提升事故应急处置能力。</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r>
              <w:rPr>
                <w:rFonts w:eastAsia="仿宋"/>
                <w:bCs/>
                <w:sz w:val="24"/>
              </w:rPr>
              <w:t>XXX</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r>
      <w:tr>
        <w:tblPrEx>
          <w:tblCellMar>
            <w:top w:w="0" w:type="dxa"/>
            <w:left w:w="0" w:type="dxa"/>
            <w:bottom w:w="0" w:type="dxa"/>
            <w:right w:w="0" w:type="dxa"/>
          </w:tblCellMar>
        </w:tblPrEx>
        <w:trPr>
          <w:trHeight w:val="3404" w:hRule="atLeast"/>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80" w:lineRule="exact"/>
              <w:jc w:val="center"/>
              <w:rPr>
                <w:rFonts w:hint="default"/>
                <w:bCs/>
                <w:sz w:val="24"/>
                <w:lang w:val="en"/>
              </w:rPr>
            </w:pPr>
            <w:r>
              <w:rPr>
                <w:rFonts w:hint="default"/>
                <w:bCs/>
                <w:sz w:val="24"/>
                <w:lang w:val="en"/>
              </w:rPr>
              <w:t>4</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bCs/>
                <w:color w:val="000000"/>
                <w:sz w:val="28"/>
                <w:szCs w:val="28"/>
              </w:rPr>
            </w:pPr>
            <w:r>
              <w:rPr>
                <w:rFonts w:hint="eastAsia" w:eastAsia="黑体"/>
                <w:bCs w:val="0"/>
                <w:color w:val="000000"/>
                <w:sz w:val="24"/>
                <w:szCs w:val="24"/>
              </w:rPr>
              <w:t>危险货物运输车流量大的干线公路火灾爆炸</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eastAsia="仿宋_GB2312"/>
                <w:bCs/>
                <w:color w:val="000000"/>
                <w:sz w:val="24"/>
              </w:rPr>
            </w:pP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3"/>
              </w:numPr>
              <w:ind w:left="21"/>
              <w:jc w:val="left"/>
              <w:rPr>
                <w:rFonts w:hint="default" w:eastAsia="仿宋_GB2312"/>
                <w:bCs/>
                <w:kern w:val="0"/>
                <w:sz w:val="21"/>
              </w:rPr>
            </w:pPr>
            <w:r>
              <w:rPr>
                <w:rFonts w:hint="default" w:eastAsia="仿宋_GB2312"/>
                <w:bCs/>
                <w:color w:val="000000"/>
                <w:kern w:val="0"/>
                <w:sz w:val="21"/>
              </w:rPr>
              <w:t>干线公路危险货物运输车流量大，引发道路交通事故导致危险货物泄漏，应急处置难度大</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港口危险货物集中区域交通主干道危货车流量大，车辆长时间聚集、停放堵塞道路、应急车道</w:t>
            </w:r>
            <w:r>
              <w:rPr>
                <w:rFonts w:hint="eastAsia" w:eastAsia="仿宋_GB2312"/>
                <w:bCs/>
                <w:color w:val="000000"/>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 xml:space="preserve">3.相关道路管理、运营部门应急物资储备不足，应急处置能力不强。 </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default" w:eastAsia="仿宋_GB2312"/>
                <w:bCs/>
                <w:kern w:val="0"/>
                <w:sz w:val="21"/>
              </w:rPr>
            </w:pPr>
            <w:r>
              <w:rPr>
                <w:rFonts w:hint="default" w:eastAsia="仿宋_GB2312"/>
                <w:bCs/>
                <w:color w:val="000000"/>
                <w:kern w:val="0"/>
                <w:sz w:val="21"/>
              </w:rPr>
              <w:t>按照《中华人民共和国公路法》《公路安全保护条例》《收费公路管理条例》等法律法规和相关技术标准规范要求做好重大风险防控工作。</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加强危险货物运输车辆动态监控和跨区域运输信息共享，对车辆行驶轨迹、驾驶员状况及车辆技术状况全程进行监控</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2.合理设定港口危险货物集中区域危险货物车辆作业时间、通行路线，避免车辆聚集</w:t>
            </w:r>
            <w:r>
              <w:rPr>
                <w:rFonts w:hint="eastAsia" w:eastAsia="仿宋_GB2312"/>
                <w:bCs/>
                <w:color w:val="000000"/>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3.相关路段管理、运营部门应按要求配置应急救援物资，制定危险货物车辆事故应急处置方案并向交通、公安、应急管理等部门报备，建立事故应急救援联动协调机制。</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r>
              <w:rPr>
                <w:rFonts w:eastAsia="仿宋"/>
                <w:bCs/>
                <w:sz w:val="24"/>
              </w:rPr>
              <w:t>XXX</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r>
      <w:tr>
        <w:tblPrEx>
          <w:tblCellMar>
            <w:top w:w="0" w:type="dxa"/>
            <w:left w:w="0" w:type="dxa"/>
            <w:bottom w:w="0" w:type="dxa"/>
            <w:right w:w="0" w:type="dxa"/>
          </w:tblCellMar>
        </w:tblPrEx>
        <w:trPr>
          <w:trHeight w:val="3404" w:hRule="atLeast"/>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80" w:lineRule="exact"/>
              <w:jc w:val="center"/>
              <w:rPr>
                <w:rFonts w:hint="default"/>
                <w:bCs/>
                <w:sz w:val="24"/>
                <w:lang w:val="en"/>
              </w:rPr>
            </w:pPr>
            <w:r>
              <w:rPr>
                <w:rFonts w:hint="default"/>
                <w:bCs/>
                <w:sz w:val="24"/>
                <w:lang w:val="en"/>
              </w:rPr>
              <w:t>5</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bCs/>
                <w:color w:val="000000"/>
                <w:sz w:val="28"/>
                <w:szCs w:val="28"/>
              </w:rPr>
            </w:pPr>
            <w:r>
              <w:rPr>
                <w:rFonts w:hint="eastAsia" w:eastAsia="黑体"/>
                <w:bCs w:val="0"/>
                <w:color w:val="000000"/>
                <w:sz w:val="24"/>
                <w:szCs w:val="24"/>
              </w:rPr>
              <w:t>流量较大的二级以上公路在通车情况下实施养护作业时车辆连环碰撞</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eastAsia="仿宋_GB2312"/>
                <w:bCs/>
                <w:color w:val="000000"/>
                <w:sz w:val="24"/>
              </w:rPr>
            </w:pP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4"/>
              </w:numPr>
              <w:ind w:left="21"/>
              <w:jc w:val="left"/>
              <w:rPr>
                <w:rFonts w:hint="default" w:eastAsia="仿宋_GB2312"/>
                <w:bCs/>
                <w:kern w:val="0"/>
                <w:sz w:val="21"/>
              </w:rPr>
            </w:pPr>
            <w:r>
              <w:rPr>
                <w:rFonts w:hint="default" w:eastAsia="仿宋_GB2312"/>
                <w:bCs/>
                <w:color w:val="000000"/>
                <w:kern w:val="0"/>
                <w:sz w:val="21"/>
              </w:rPr>
              <w:t>作业现场未做好防护隔离、警示告知和作业人员防护措施</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相关作业队伍资质、专业性不符合 要求，作业人员作业不规范</w:t>
            </w:r>
            <w:r>
              <w:rPr>
                <w:rFonts w:hint="eastAsia" w:eastAsia="仿宋_GB2312"/>
                <w:bCs/>
                <w:color w:val="000000"/>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3.非作业车辆闯入作业区。</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default" w:eastAsia="仿宋_GB2312"/>
                <w:bCs/>
                <w:kern w:val="0"/>
                <w:sz w:val="21"/>
              </w:rPr>
            </w:pPr>
            <w:r>
              <w:rPr>
                <w:rFonts w:hint="default" w:eastAsia="仿宋_GB2312"/>
                <w:bCs/>
                <w:color w:val="000000"/>
                <w:kern w:val="0"/>
                <w:sz w:val="21"/>
              </w:rPr>
              <w:t>按照《中华人民共和国公路法》《公路安全保护条例》《收费公路管理条例》等法律法规和相关技术标 准规范要求做好重大风险防控工作。</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根据养护作业情况，合理设置通行条件和通行时间</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2.采用公众号、微博、告知牌、情报板、广播电视等多种形式做好此类作业期间的道路通行情报告知工作</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3.加强作业队伍管理，按照相关作业技术规范做好警示告知和作业区隔离防护</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4.养护作业现场应平面布置合理、物料堆放整洁、机械设备停放有序，养护机械或材料不得堆放于控制区外</w:t>
            </w:r>
            <w:r>
              <w:rPr>
                <w:rFonts w:hint="eastAsia" w:eastAsia="仿宋_GB2312"/>
                <w:bCs/>
                <w:color w:val="000000"/>
                <w:kern w:val="0"/>
                <w:sz w:val="21"/>
                <w:lang w:eastAsia="zh-CN"/>
              </w:rPr>
              <w:t>。</w:t>
            </w:r>
          </w:p>
          <w:p>
            <w:pPr>
              <w:numPr>
                <w:ilvl w:val="0"/>
                <w:numId w:val="0"/>
              </w:numPr>
              <w:ind w:left="0"/>
              <w:jc w:val="left"/>
              <w:rPr>
                <w:rFonts w:hint="eastAsia" w:eastAsia="仿宋_GB2312"/>
                <w:bCs/>
                <w:color w:val="000000"/>
                <w:kern w:val="0"/>
                <w:sz w:val="21"/>
                <w:lang w:eastAsia="zh-CN"/>
              </w:rPr>
            </w:pPr>
            <w:r>
              <w:rPr>
                <w:rFonts w:hint="default" w:eastAsia="仿宋_GB2312"/>
                <w:bCs/>
                <w:color w:val="000000"/>
                <w:kern w:val="0"/>
                <w:sz w:val="21"/>
              </w:rPr>
              <w:t>5.作业期间加强路警联动、情报互通，维护施工路段交通秩序，作业路段发生事故应及时处置避免发生道路拥堵</w:t>
            </w:r>
            <w:r>
              <w:rPr>
                <w:rFonts w:hint="eastAsia" w:eastAsia="仿宋_GB2312"/>
                <w:bCs/>
                <w:color w:val="000000"/>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6.完工后及时做好清理、交接或验收工作。</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r>
      <w:tr>
        <w:tblPrEx>
          <w:tblCellMar>
            <w:top w:w="0" w:type="dxa"/>
            <w:left w:w="0" w:type="dxa"/>
            <w:bottom w:w="0" w:type="dxa"/>
            <w:right w:w="0" w:type="dxa"/>
          </w:tblCellMar>
        </w:tblPrEx>
        <w:trPr>
          <w:trHeight w:val="3404" w:hRule="atLeast"/>
          <w:jc w:val="center"/>
        </w:trPr>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80" w:lineRule="exact"/>
              <w:jc w:val="center"/>
              <w:rPr>
                <w:rFonts w:hint="eastAsia" w:eastAsia="宋体"/>
                <w:bCs/>
                <w:sz w:val="24"/>
                <w:lang w:val="en-US" w:eastAsia="zh-CN"/>
              </w:rPr>
            </w:pPr>
            <w:r>
              <w:rPr>
                <w:rFonts w:hint="eastAsia"/>
                <w:bCs/>
                <w:sz w:val="24"/>
                <w:lang w:val="en-US" w:eastAsia="zh-CN"/>
              </w:rPr>
              <w:t>6</w:t>
            </w:r>
          </w:p>
        </w:tc>
        <w:tc>
          <w:tcPr>
            <w:tcW w:w="1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bCs/>
                <w:color w:val="000000"/>
                <w:sz w:val="28"/>
                <w:szCs w:val="28"/>
              </w:rPr>
            </w:pPr>
            <w:r>
              <w:rPr>
                <w:rFonts w:hint="eastAsia" w:eastAsia="黑体"/>
                <w:bCs w:val="0"/>
                <w:color w:val="000000"/>
                <w:sz w:val="24"/>
                <w:szCs w:val="24"/>
              </w:rPr>
              <w:t>公水铁并行交汇处安全</w:t>
            </w:r>
          </w:p>
        </w:tc>
        <w:tc>
          <w:tcPr>
            <w:tcW w:w="1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eastAsia="仿宋_GB2312"/>
                <w:bCs/>
                <w:color w:val="000000"/>
                <w:sz w:val="24"/>
              </w:rPr>
            </w:pPr>
            <w:r>
              <w:rPr>
                <w:rFonts w:hint="default" w:eastAsia="仿宋_GB2312"/>
                <w:bCs/>
                <w:color w:val="000000"/>
                <w:kern w:val="0"/>
                <w:sz w:val="21"/>
              </w:rPr>
              <w:t>全省公路、水路与铁路交汇处涉及桥梁725座，其中，公路上跨、下穿桥梁（涵洞）524座（普通公路440座、高速公路84座），航道桥梁201座。</w:t>
            </w:r>
          </w:p>
        </w:tc>
        <w:tc>
          <w:tcPr>
            <w:tcW w:w="3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5"/>
              </w:numPr>
              <w:ind w:left="21"/>
              <w:jc w:val="left"/>
              <w:rPr>
                <w:rFonts w:hint="eastAsia" w:eastAsia="仿宋_GB2312"/>
                <w:bCs/>
                <w:kern w:val="0"/>
                <w:sz w:val="21"/>
                <w:lang w:eastAsia="zh-CN"/>
              </w:rPr>
            </w:pPr>
            <w:r>
              <w:rPr>
                <w:rFonts w:hint="default" w:eastAsia="仿宋_GB2312"/>
                <w:bCs/>
                <w:color w:val="000000"/>
                <w:kern w:val="0"/>
                <w:sz w:val="21"/>
              </w:rPr>
              <w:t>货运车辆超限运输、随意抛洒</w:t>
            </w:r>
            <w:r>
              <w:rPr>
                <w:rFonts w:hint="eastAsia" w:eastAsia="仿宋_GB2312"/>
                <w:bCs/>
                <w:kern w:val="0"/>
                <w:sz w:val="21"/>
                <w:lang w:eastAsia="zh-CN"/>
              </w:rPr>
              <w:t>。</w:t>
            </w:r>
          </w:p>
          <w:p>
            <w:pPr>
              <w:numPr>
                <w:ilvl w:val="0"/>
                <w:numId w:val="0"/>
              </w:numPr>
              <w:ind w:left="0"/>
              <w:jc w:val="left"/>
              <w:rPr>
                <w:rFonts w:hint="eastAsia" w:eastAsia="仿宋_GB2312"/>
                <w:bCs/>
                <w:kern w:val="0"/>
                <w:sz w:val="21"/>
                <w:lang w:eastAsia="zh-CN"/>
              </w:rPr>
            </w:pPr>
            <w:r>
              <w:rPr>
                <w:rFonts w:hint="default" w:eastAsia="仿宋_GB2312"/>
                <w:bCs/>
                <w:color w:val="000000"/>
                <w:kern w:val="0"/>
                <w:sz w:val="21"/>
              </w:rPr>
              <w:t>公路范围发生车祸影响到铁路，航道范围发生船舶碰撞铁路桥墩等</w:t>
            </w:r>
            <w:r>
              <w:rPr>
                <w:rFonts w:hint="eastAsia" w:eastAsia="仿宋_GB2312"/>
                <w:bCs/>
                <w:kern w:val="0"/>
                <w:sz w:val="21"/>
                <w:lang w:eastAsia="zh-CN"/>
              </w:rPr>
              <w:t>。</w:t>
            </w:r>
          </w:p>
          <w:p>
            <w:pPr>
              <w:numPr>
                <w:ilvl w:val="0"/>
                <w:numId w:val="0"/>
              </w:numPr>
              <w:ind w:left="0"/>
              <w:jc w:val="left"/>
              <w:rPr>
                <w:rFonts w:eastAsia="仿宋_GB2312"/>
                <w:bCs/>
                <w:color w:val="000000"/>
                <w:kern w:val="0"/>
                <w:sz w:val="21"/>
              </w:rPr>
            </w:pPr>
            <w:r>
              <w:rPr>
                <w:rFonts w:hint="default" w:eastAsia="仿宋_GB2312"/>
                <w:bCs/>
                <w:color w:val="000000"/>
                <w:kern w:val="0"/>
                <w:sz w:val="21"/>
              </w:rPr>
              <w:t>3. 公水铁联防联控信息不畅。</w:t>
            </w:r>
          </w:p>
        </w:tc>
        <w:tc>
          <w:tcPr>
            <w:tcW w:w="57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left="21"/>
              <w:jc w:val="left"/>
              <w:rPr>
                <w:rFonts w:hint="eastAsia" w:eastAsia="仿宋_GB2312"/>
                <w:bCs/>
                <w:kern w:val="0"/>
                <w:sz w:val="21"/>
                <w:lang w:eastAsia="zh-CN"/>
              </w:rPr>
            </w:pPr>
            <w:r>
              <w:rPr>
                <w:rFonts w:hint="default" w:eastAsia="仿宋_GB2312"/>
                <w:bCs/>
                <w:color w:val="000000"/>
                <w:kern w:val="0"/>
                <w:sz w:val="21"/>
              </w:rPr>
              <w:t>1.针对防超限、防抛洒、防碰撞和提高防护等级等交通防范重点，对公水铁交汇处风险隐患进行辨识、排查，采取设置限高防护架、防抛网、加强护栏等级等措施，加强隐患治理，及时消除安全隐患</w:t>
            </w:r>
            <w:r>
              <w:rPr>
                <w:rFonts w:hint="eastAsia" w:eastAsia="仿宋_GB2312"/>
                <w:bCs/>
                <w:kern w:val="0"/>
                <w:sz w:val="21"/>
                <w:lang w:eastAsia="zh-CN"/>
              </w:rPr>
              <w:t>。</w:t>
            </w:r>
          </w:p>
          <w:p>
            <w:pPr>
              <w:ind w:left="21"/>
              <w:jc w:val="left"/>
              <w:rPr>
                <w:rFonts w:eastAsia="仿宋_GB2312"/>
                <w:bCs/>
                <w:color w:val="000000"/>
                <w:kern w:val="0"/>
                <w:sz w:val="21"/>
              </w:rPr>
            </w:pPr>
            <w:r>
              <w:rPr>
                <w:rFonts w:hint="default" w:eastAsia="仿宋_GB2312"/>
                <w:bCs/>
                <w:color w:val="000000"/>
                <w:kern w:val="0"/>
                <w:sz w:val="21"/>
              </w:rPr>
              <w:t>2. 突出“信息互通、隐患互查、应急互动”，建立健全省、市、县三级公路、水路与铁路安全应急央地信息联动暨联防联控机制，共同抓好公水铁并行交汇处安全管理工作。</w:t>
            </w: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380" w:lineRule="exact"/>
              <w:jc w:val="center"/>
              <w:rPr>
                <w:rFonts w:eastAsia="仿宋"/>
                <w:bCs/>
                <w:sz w:val="24"/>
              </w:rPr>
            </w:pP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9FED3"/>
    <w:multiLevelType w:val="singleLevel"/>
    <w:tmpl w:val="A739FED3"/>
    <w:lvl w:ilvl="0" w:tentative="0">
      <w:start w:val="1"/>
      <w:numFmt w:val="decimal"/>
      <w:lvlText w:val="%1."/>
      <w:lvlJc w:val="left"/>
      <w:pPr>
        <w:tabs>
          <w:tab w:val="left" w:pos="312"/>
        </w:tabs>
      </w:pPr>
    </w:lvl>
  </w:abstractNum>
  <w:abstractNum w:abstractNumId="1">
    <w:nsid w:val="F797C332"/>
    <w:multiLevelType w:val="singleLevel"/>
    <w:tmpl w:val="F797C332"/>
    <w:lvl w:ilvl="0" w:tentative="0">
      <w:start w:val="1"/>
      <w:numFmt w:val="decimal"/>
      <w:lvlText w:val="%1."/>
      <w:lvlJc w:val="left"/>
      <w:pPr>
        <w:tabs>
          <w:tab w:val="left" w:pos="312"/>
        </w:tabs>
      </w:pPr>
    </w:lvl>
  </w:abstractNum>
  <w:abstractNum w:abstractNumId="2">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21A4D8F5"/>
    <w:multiLevelType w:val="singleLevel"/>
    <w:tmpl w:val="21A4D8F5"/>
    <w:lvl w:ilvl="0" w:tentative="0">
      <w:start w:val="1"/>
      <w:numFmt w:val="decimal"/>
      <w:lvlText w:val="%1."/>
      <w:lvlJc w:val="left"/>
      <w:pPr>
        <w:tabs>
          <w:tab w:val="left" w:pos="312"/>
        </w:tabs>
      </w:pPr>
    </w:lvl>
  </w:abstractNum>
  <w:abstractNum w:abstractNumId="4">
    <w:nsid w:val="6F8A5FA3"/>
    <w:multiLevelType w:val="singleLevel"/>
    <w:tmpl w:val="6F8A5FA3"/>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77C6850"/>
    <w:rsid w:val="093277A9"/>
    <w:rsid w:val="0C00517C"/>
    <w:rsid w:val="0DEA1EA6"/>
    <w:rsid w:val="15477903"/>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77C6850"/>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0</TotalTime>
  <ScaleCrop>false</ScaleCrop>
  <LinksUpToDate>false</LinksUpToDate>
  <CharactersWithSpaces>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2023-03-03T01:08:00Z</dcterms:created>
  <dc:creator>孙瑞</dc:creator>
  <cp:lastModifiedBy>孙瑞</cp:lastModifiedBy>
  <dcterms:modified xsi:type="dcterms:W3CDTF">2023-03-03T01:08:50Z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B2A1D387B535448BB66A6DB1A8C32264</vt:lpwstr>
  </property>
</Properties>
</file>