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9"/>
      </w:pPr>
      <w:bookmarkStart w:id="0" w:name="_GoBack"/>
      <w:r>
        <w:rPr>
          <w:rFonts w:hint="eastAsia" w:ascii="黑体" w:hAnsi="黑体" w:eastAsia="黑体" w:cs="Times New Roman"/>
          <w:sz w:val="36"/>
          <w:szCs w:val="36"/>
          <w:lang w:val="en-US" w:eastAsia="zh-CN"/>
        </w:rPr>
        <w:t>特种设备安全风险管控责任清单（</w:t>
      </w:r>
      <w:r>
        <w:rPr>
          <w:rFonts w:hint="eastAsia"/>
          <w:lang w:val="en-US" w:eastAsia="zh-CN"/>
        </w:rPr>
        <w:t>起重机械</w:t>
      </w:r>
      <w:r>
        <w:rPr>
          <w:rFonts w:hint="eastAsia" w:ascii="黑体" w:hAnsi="黑体" w:eastAsia="黑体" w:cs="Times New Roman"/>
          <w:sz w:val="36"/>
          <w:szCs w:val="36"/>
          <w:lang w:val="en-US" w:eastAsia="zh-CN"/>
        </w:rPr>
        <w:t>）</w:t>
      </w:r>
    </w:p>
    <w:bookmarkEnd w:id="0"/>
    <w:tbl>
      <w:tblPr>
        <w:tblStyle w:val="3"/>
        <w:tblW w:w="1374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95"/>
        <w:gridCol w:w="2040"/>
        <w:gridCol w:w="3150"/>
        <w:gridCol w:w="4171"/>
        <w:gridCol w:w="780"/>
        <w:gridCol w:w="824"/>
        <w:gridCol w:w="931"/>
      </w:tblGrid>
      <w:tr>
        <w:trPr>
          <w:trHeight w:val="600" w:hRule="atLeast"/>
          <w:tblHeader/>
        </w:trPr>
        <w:tc>
          <w:tcPr>
            <w:tcW w:w="1851" w:type="dxa"/>
            <w:gridSpan w:val="2"/>
            <w:shd w:val="clear" w:color="auto" w:fill="auto"/>
            <w:noWrap/>
            <w:vAlign w:val="center"/>
          </w:tcPr>
          <w:p>
            <w:pPr>
              <w:widowControl/>
              <w:jc w:val="center"/>
              <w:outlineLvl w:val="9"/>
              <w:rPr>
                <w:rFonts w:ascii="黑体" w:hAnsi="黑体" w:eastAsia="黑体" w:cs="宋体"/>
                <w:color w:val="000000"/>
                <w:kern w:val="0"/>
                <w:sz w:val="24"/>
              </w:rPr>
            </w:pPr>
            <w:r>
              <w:rPr>
                <w:rFonts w:hint="eastAsia" w:ascii="黑体" w:hAnsi="黑体" w:eastAsia="黑体" w:cs="宋体"/>
                <w:color w:val="000000"/>
                <w:kern w:val="0"/>
                <w:sz w:val="24"/>
              </w:rPr>
              <w:t>重点部位设施</w:t>
            </w:r>
          </w:p>
        </w:tc>
        <w:tc>
          <w:tcPr>
            <w:tcW w:w="2040" w:type="dxa"/>
            <w:shd w:val="clear" w:color="auto" w:fill="auto"/>
            <w:noWrap w:val="0"/>
            <w:vAlign w:val="center"/>
          </w:tcPr>
          <w:p>
            <w:pPr>
              <w:widowControl/>
              <w:jc w:val="center"/>
              <w:outlineLvl w:val="9"/>
              <w:rPr>
                <w:rFonts w:ascii="黑体" w:hAnsi="黑体" w:eastAsia="黑体" w:cs="宋体"/>
                <w:color w:val="000000"/>
                <w:kern w:val="0"/>
                <w:sz w:val="24"/>
              </w:rPr>
            </w:pPr>
            <w:r>
              <w:rPr>
                <w:rFonts w:hint="eastAsia" w:ascii="黑体" w:hAnsi="黑体" w:eastAsia="黑体" w:cs="宋体"/>
                <w:color w:val="000000"/>
                <w:kern w:val="0"/>
                <w:sz w:val="24"/>
              </w:rPr>
              <w:t>主要风险概述</w:t>
            </w:r>
          </w:p>
        </w:tc>
        <w:tc>
          <w:tcPr>
            <w:tcW w:w="3150" w:type="dxa"/>
            <w:shd w:val="clear" w:color="000000" w:fill="FFFFFF"/>
            <w:noWrap w:val="0"/>
            <w:vAlign w:val="center"/>
          </w:tcPr>
          <w:p>
            <w:pPr>
              <w:widowControl/>
              <w:jc w:val="center"/>
              <w:outlineLvl w:val="9"/>
              <w:rPr>
                <w:rFonts w:ascii="黑体" w:hAnsi="黑体" w:eastAsia="黑体" w:cs="宋体"/>
                <w:color w:val="000000"/>
                <w:kern w:val="0"/>
                <w:sz w:val="24"/>
              </w:rPr>
            </w:pPr>
            <w:r>
              <w:rPr>
                <w:rFonts w:hint="eastAsia" w:ascii="黑体" w:hAnsi="黑体" w:eastAsia="黑体" w:cs="宋体"/>
                <w:color w:val="000000"/>
                <w:kern w:val="0"/>
                <w:sz w:val="24"/>
              </w:rPr>
              <w:t>管控责任</w:t>
            </w:r>
          </w:p>
        </w:tc>
        <w:tc>
          <w:tcPr>
            <w:tcW w:w="4171" w:type="dxa"/>
            <w:noWrap w:val="0"/>
            <w:vAlign w:val="center"/>
          </w:tcPr>
          <w:p>
            <w:pPr>
              <w:widowControl/>
              <w:jc w:val="center"/>
              <w:outlineLvl w:val="9"/>
              <w:rPr>
                <w:rFonts w:ascii="黑体" w:hAnsi="黑体" w:eastAsia="黑体" w:cs="宋体"/>
                <w:color w:val="000000"/>
                <w:kern w:val="0"/>
                <w:sz w:val="24"/>
              </w:rPr>
            </w:pPr>
            <w:r>
              <w:rPr>
                <w:rFonts w:hint="eastAsia" w:ascii="黑体" w:hAnsi="黑体" w:eastAsia="黑体" w:cs="宋体"/>
                <w:color w:val="000000"/>
                <w:kern w:val="0"/>
                <w:sz w:val="24"/>
              </w:rPr>
              <w:t>管控措施</w:t>
            </w:r>
          </w:p>
        </w:tc>
        <w:tc>
          <w:tcPr>
            <w:tcW w:w="780" w:type="dxa"/>
            <w:noWrap/>
            <w:vAlign w:val="center"/>
          </w:tcPr>
          <w:p>
            <w:pPr>
              <w:widowControl/>
              <w:jc w:val="center"/>
              <w:outlineLvl w:val="9"/>
              <w:rPr>
                <w:rFonts w:hint="default" w:ascii="黑体" w:hAnsi="黑体" w:eastAsia="黑体" w:cs="宋体"/>
                <w:color w:val="000000"/>
                <w:kern w:val="0"/>
                <w:sz w:val="24"/>
                <w:lang w:val="en-US" w:eastAsia="zh-CN"/>
              </w:rPr>
            </w:pPr>
            <w:r>
              <w:rPr>
                <w:rFonts w:hint="eastAsia" w:ascii="黑体" w:hAnsi="黑体" w:eastAsia="黑体" w:cs="宋体"/>
                <w:color w:val="000000"/>
                <w:kern w:val="0"/>
                <w:sz w:val="24"/>
                <w:lang w:val="en-US" w:eastAsia="zh-CN"/>
              </w:rPr>
              <w:t>风险等级</w:t>
            </w:r>
          </w:p>
        </w:tc>
        <w:tc>
          <w:tcPr>
            <w:tcW w:w="824" w:type="dxa"/>
            <w:noWrap/>
            <w:vAlign w:val="center"/>
          </w:tcPr>
          <w:p>
            <w:pPr>
              <w:widowControl/>
              <w:jc w:val="center"/>
              <w:outlineLvl w:val="9"/>
              <w:rPr>
                <w:rFonts w:hint="eastAsia" w:ascii="黑体" w:hAnsi="黑体" w:eastAsia="黑体" w:cs="宋体"/>
                <w:color w:val="000000"/>
                <w:kern w:val="0"/>
                <w:sz w:val="24"/>
              </w:rPr>
            </w:pPr>
            <w:r>
              <w:rPr>
                <w:rFonts w:hint="eastAsia" w:ascii="黑体" w:hAnsi="黑体" w:eastAsia="黑体" w:cs="宋体"/>
                <w:color w:val="000000"/>
                <w:kern w:val="0"/>
                <w:sz w:val="24"/>
              </w:rPr>
              <w:t>责任部门</w:t>
            </w:r>
          </w:p>
        </w:tc>
        <w:tc>
          <w:tcPr>
            <w:tcW w:w="931" w:type="dxa"/>
            <w:noWrap/>
            <w:vAlign w:val="center"/>
          </w:tcPr>
          <w:p>
            <w:pPr>
              <w:widowControl/>
              <w:jc w:val="center"/>
              <w:outlineLvl w:val="9"/>
              <w:rPr>
                <w:rFonts w:hint="eastAsia" w:ascii="黑体" w:hAnsi="黑体" w:eastAsia="黑体" w:cs="宋体"/>
                <w:color w:val="000000"/>
                <w:kern w:val="0"/>
                <w:sz w:val="24"/>
                <w:lang w:val="en-US" w:eastAsia="zh-CN"/>
              </w:rPr>
            </w:pPr>
            <w:r>
              <w:rPr>
                <w:rFonts w:hint="eastAsia" w:ascii="黑体" w:hAnsi="黑体" w:eastAsia="黑体" w:cs="宋体"/>
                <w:color w:val="000000"/>
                <w:kern w:val="0"/>
                <w:sz w:val="24"/>
                <w:lang w:val="en-US" w:eastAsia="zh-CN"/>
              </w:rPr>
              <w:t>责任人</w:t>
            </w:r>
          </w:p>
        </w:tc>
      </w:tr>
      <w:tr>
        <w:trPr>
          <w:trHeight w:val="1370" w:hRule="atLeast"/>
        </w:trPr>
        <w:tc>
          <w:tcPr>
            <w:tcW w:w="756" w:type="dxa"/>
            <w:vMerge w:val="restart"/>
            <w:shd w:val="clear" w:color="auto" w:fill="auto"/>
            <w:noWrap w:val="0"/>
            <w:vAlign w:val="center"/>
          </w:tcPr>
          <w:p>
            <w:pPr>
              <w:widowControl/>
              <w:jc w:val="center"/>
              <w:outlineLvl w:val="9"/>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起重机械</w:t>
            </w:r>
          </w:p>
        </w:tc>
        <w:tc>
          <w:tcPr>
            <w:tcW w:w="1095" w:type="dxa"/>
            <w:shd w:val="clear" w:color="auto" w:fill="auto"/>
            <w:noWrap w:val="0"/>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基础设施</w:t>
            </w:r>
          </w:p>
        </w:tc>
        <w:tc>
          <w:tcPr>
            <w:tcW w:w="2040" w:type="dxa"/>
            <w:shd w:val="clear" w:color="auto" w:fill="auto"/>
            <w:noWrap w:val="0"/>
            <w:vAlign w:val="center"/>
          </w:tcPr>
          <w:p>
            <w:pPr>
              <w:widowControl/>
              <w:jc w:val="center"/>
              <w:outlineLvl w:val="9"/>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基础设施承载力不足会导致起重机械发生</w:t>
            </w:r>
            <w:r>
              <w:rPr>
                <w:rFonts w:hint="eastAsia" w:ascii="宋体" w:hAnsi="宋体" w:cs="宋体"/>
                <w:color w:val="000000"/>
                <w:kern w:val="0"/>
                <w:sz w:val="20"/>
                <w:szCs w:val="20"/>
              </w:rPr>
              <w:t>倾覆</w:t>
            </w:r>
            <w:r>
              <w:rPr>
                <w:rFonts w:hint="eastAsia" w:ascii="宋体" w:hAnsi="宋体" w:cs="宋体"/>
                <w:color w:val="000000"/>
                <w:kern w:val="0"/>
                <w:sz w:val="20"/>
                <w:szCs w:val="20"/>
                <w:lang w:val="en-US" w:eastAsia="zh-CN"/>
              </w:rPr>
              <w:t>或</w:t>
            </w:r>
            <w:r>
              <w:rPr>
                <w:rFonts w:hint="eastAsia" w:ascii="宋体" w:hAnsi="宋体" w:cs="宋体"/>
                <w:color w:val="000000"/>
                <w:kern w:val="0"/>
                <w:sz w:val="20"/>
                <w:szCs w:val="20"/>
              </w:rPr>
              <w:t>倒塌</w:t>
            </w:r>
            <w:r>
              <w:rPr>
                <w:rFonts w:hint="eastAsia" w:ascii="宋体" w:hAnsi="宋体" w:cs="宋体"/>
                <w:color w:val="000000"/>
                <w:kern w:val="0"/>
                <w:sz w:val="20"/>
                <w:szCs w:val="20"/>
                <w:lang w:eastAsia="zh-CN"/>
              </w:rPr>
              <w:t>。</w:t>
            </w:r>
          </w:p>
        </w:tc>
        <w:tc>
          <w:tcPr>
            <w:tcW w:w="3150" w:type="dxa"/>
            <w:shd w:val="clear" w:color="000000" w:fill="FFFFFF"/>
            <w:noWrap w:val="0"/>
            <w:vAlign w:val="center"/>
          </w:tcPr>
          <w:p>
            <w:pPr>
              <w:widowControl/>
              <w:jc w:val="both"/>
              <w:outlineLvl w:val="9"/>
              <w:rPr>
                <w:rFonts w:hint="eastAsia" w:ascii="宋体" w:hAnsi="宋体" w:cs="宋体"/>
                <w:color w:val="000000"/>
                <w:kern w:val="0"/>
                <w:sz w:val="20"/>
                <w:szCs w:val="20"/>
              </w:rPr>
            </w:pPr>
            <w:r>
              <w:rPr>
                <w:rFonts w:hint="eastAsia" w:ascii="宋体" w:hAnsi="宋体" w:cs="宋体"/>
                <w:color w:val="000000"/>
                <w:kern w:val="0"/>
                <w:sz w:val="20"/>
                <w:szCs w:val="20"/>
              </w:rPr>
              <w:t>承载力计算应符合有关规定</w:t>
            </w:r>
            <w:r>
              <w:rPr>
                <w:rFonts w:hint="eastAsia" w:ascii="宋体" w:hAnsi="宋体" w:cs="宋体"/>
                <w:kern w:val="0"/>
                <w:sz w:val="20"/>
                <w:szCs w:val="20"/>
                <w:lang w:eastAsia="zh-CN"/>
              </w:rPr>
              <w:t>。</w:t>
            </w:r>
          </w:p>
        </w:tc>
        <w:tc>
          <w:tcPr>
            <w:tcW w:w="4171" w:type="dxa"/>
            <w:noWrap w:val="0"/>
            <w:vAlign w:val="center"/>
          </w:tcPr>
          <w:p>
            <w:pPr>
              <w:widowControl/>
              <w:jc w:val="left"/>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基础的设置制作应符合产品安装使用说明书的要求；</w:t>
            </w:r>
          </w:p>
          <w:p>
            <w:pPr>
              <w:widowControl/>
              <w:jc w:val="left"/>
              <w:outlineLvl w:val="9"/>
              <w:rPr>
                <w:rFonts w:hint="eastAsia" w:ascii="宋体" w:hAnsi="宋体" w:cs="宋体"/>
                <w:color w:val="000000"/>
                <w:kern w:val="0"/>
                <w:sz w:val="20"/>
                <w:szCs w:val="20"/>
              </w:rPr>
            </w:pPr>
            <w:r>
              <w:rPr>
                <w:rFonts w:hint="eastAsia" w:ascii="宋体" w:hAnsi="宋体" w:cs="宋体"/>
                <w:color w:val="000000"/>
                <w:kern w:val="0"/>
                <w:sz w:val="20"/>
                <w:szCs w:val="20"/>
              </w:rPr>
              <w:t>2.按</w:t>
            </w:r>
            <w:r>
              <w:rPr>
                <w:rFonts w:hint="eastAsia" w:ascii="宋体" w:hAnsi="宋体" w:cs="宋体"/>
                <w:color w:val="000000"/>
                <w:kern w:val="0"/>
                <w:sz w:val="20"/>
                <w:szCs w:val="20"/>
                <w:lang w:val="en-US" w:eastAsia="zh-CN"/>
              </w:rPr>
              <w:t>专项</w:t>
            </w:r>
            <w:r>
              <w:rPr>
                <w:rFonts w:hint="eastAsia" w:ascii="宋体" w:hAnsi="宋体" w:cs="宋体"/>
                <w:color w:val="000000"/>
                <w:kern w:val="0"/>
                <w:sz w:val="20"/>
                <w:szCs w:val="20"/>
              </w:rPr>
              <w:t>方案设置基础；</w:t>
            </w:r>
          </w:p>
          <w:p>
            <w:pPr>
              <w:widowControl/>
              <w:jc w:val="left"/>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组织相关人员验收、第三方检测</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如需</w:t>
            </w:r>
            <w:r>
              <w:rPr>
                <w:rFonts w:hint="eastAsia" w:ascii="宋体" w:hAnsi="宋体" w:cs="宋体"/>
                <w:color w:val="000000"/>
                <w:kern w:val="0"/>
                <w:sz w:val="20"/>
                <w:szCs w:val="20"/>
                <w:lang w:eastAsia="zh-CN"/>
              </w:rPr>
              <w:t>）。</w:t>
            </w:r>
          </w:p>
        </w:tc>
        <w:tc>
          <w:tcPr>
            <w:tcW w:w="780" w:type="dxa"/>
            <w:noWrap/>
            <w:vAlign w:val="center"/>
          </w:tcPr>
          <w:p>
            <w:pPr>
              <w:widowControl/>
              <w:jc w:val="center"/>
              <w:outlineLvl w:val="9"/>
              <w:rPr>
                <w:rFonts w:ascii="宋体" w:hAnsi="宋体" w:cs="宋体"/>
                <w:color w:val="000000"/>
                <w:kern w:val="0"/>
                <w:sz w:val="20"/>
                <w:szCs w:val="20"/>
              </w:rPr>
            </w:pPr>
          </w:p>
        </w:tc>
        <w:tc>
          <w:tcPr>
            <w:tcW w:w="824" w:type="dxa"/>
            <w:noWrap/>
            <w:vAlign w:val="center"/>
          </w:tcPr>
          <w:p>
            <w:pPr>
              <w:widowControl/>
              <w:jc w:val="center"/>
              <w:outlineLvl w:val="9"/>
              <w:rPr>
                <w:rFonts w:ascii="宋体" w:hAnsi="宋体" w:cs="宋体"/>
                <w:color w:val="000000"/>
                <w:kern w:val="0"/>
                <w:sz w:val="20"/>
                <w:szCs w:val="20"/>
              </w:rPr>
            </w:pPr>
          </w:p>
        </w:tc>
        <w:tc>
          <w:tcPr>
            <w:tcW w:w="931" w:type="dxa"/>
            <w:noWrap/>
            <w:vAlign w:val="center"/>
          </w:tcPr>
          <w:p>
            <w:pPr>
              <w:widowControl/>
              <w:jc w:val="center"/>
              <w:outlineLvl w:val="9"/>
              <w:rPr>
                <w:rFonts w:ascii="宋体" w:hAnsi="宋体" w:cs="宋体"/>
                <w:color w:val="000000"/>
                <w:kern w:val="0"/>
                <w:sz w:val="20"/>
                <w:szCs w:val="20"/>
              </w:rPr>
            </w:pPr>
          </w:p>
        </w:tc>
      </w:tr>
      <w:tr>
        <w:trPr>
          <w:trHeight w:val="835" w:hRule="atLeast"/>
        </w:trPr>
        <w:tc>
          <w:tcPr>
            <w:tcW w:w="756" w:type="dxa"/>
            <w:vMerge w:val="continue"/>
            <w:shd w:val="clear" w:color="auto" w:fill="auto"/>
            <w:noWrap w:val="0"/>
            <w:vAlign w:val="center"/>
          </w:tcPr>
          <w:p>
            <w:pPr>
              <w:widowControl/>
              <w:jc w:val="left"/>
              <w:outlineLvl w:val="9"/>
              <w:rPr>
                <w:rFonts w:ascii="宋体" w:hAnsi="宋体" w:cs="宋体"/>
                <w:color w:val="000000"/>
                <w:kern w:val="0"/>
                <w:sz w:val="20"/>
                <w:szCs w:val="20"/>
              </w:rPr>
            </w:pPr>
          </w:p>
        </w:tc>
        <w:tc>
          <w:tcPr>
            <w:tcW w:w="1095" w:type="dxa"/>
            <w:shd w:val="clear" w:color="auto" w:fill="auto"/>
            <w:noWrap w:val="0"/>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主要金属结构</w:t>
            </w:r>
          </w:p>
        </w:tc>
        <w:tc>
          <w:tcPr>
            <w:tcW w:w="2040" w:type="dxa"/>
            <w:shd w:val="clear" w:color="auto" w:fill="auto"/>
            <w:noWrap w:val="0"/>
            <w:vAlign w:val="center"/>
          </w:tcPr>
          <w:p>
            <w:pPr>
              <w:widowControl/>
              <w:jc w:val="center"/>
              <w:outlineLvl w:val="9"/>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金属结构磨损、变形、腐蚀、断裂、倾覆。</w:t>
            </w:r>
          </w:p>
        </w:tc>
        <w:tc>
          <w:tcPr>
            <w:tcW w:w="3150" w:type="dxa"/>
            <w:shd w:val="clear" w:color="000000" w:fill="FFFFFF"/>
            <w:noWrap w:val="0"/>
            <w:vAlign w:val="center"/>
          </w:tcPr>
          <w:p>
            <w:pPr>
              <w:widowControl/>
              <w:jc w:val="both"/>
              <w:outlineLvl w:val="9"/>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保持结构强度、刚度、稳定性符合原定设计要求。</w:t>
            </w:r>
          </w:p>
        </w:tc>
        <w:tc>
          <w:tcPr>
            <w:tcW w:w="4171" w:type="dxa"/>
            <w:noWrap w:val="0"/>
            <w:vAlign w:val="center"/>
          </w:tcPr>
          <w:p>
            <w:pPr>
              <w:widowControl/>
              <w:jc w:val="both"/>
              <w:outlineLvl w:val="9"/>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1.加强日常巡查、维护保养；</w:t>
            </w:r>
          </w:p>
          <w:p>
            <w:pPr>
              <w:widowControl/>
              <w:jc w:val="both"/>
              <w:outlineLvl w:val="9"/>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2.对结构的变形、腐蚀、开裂进行监测；</w:t>
            </w:r>
          </w:p>
          <w:p>
            <w:pPr>
              <w:widowControl/>
              <w:jc w:val="both"/>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3.采取补强、更换或报废措施。</w:t>
            </w:r>
          </w:p>
        </w:tc>
        <w:tc>
          <w:tcPr>
            <w:tcW w:w="780" w:type="dxa"/>
            <w:noWrap/>
            <w:vAlign w:val="center"/>
          </w:tcPr>
          <w:p>
            <w:pPr>
              <w:widowControl/>
              <w:jc w:val="center"/>
              <w:outlineLvl w:val="9"/>
              <w:rPr>
                <w:rFonts w:ascii="宋体" w:hAnsi="宋体" w:cs="宋体"/>
                <w:color w:val="000000"/>
                <w:kern w:val="0"/>
                <w:sz w:val="20"/>
                <w:szCs w:val="20"/>
              </w:rPr>
            </w:pPr>
          </w:p>
        </w:tc>
        <w:tc>
          <w:tcPr>
            <w:tcW w:w="824" w:type="dxa"/>
            <w:noWrap/>
            <w:vAlign w:val="center"/>
          </w:tcPr>
          <w:p>
            <w:pPr>
              <w:widowControl/>
              <w:jc w:val="center"/>
              <w:outlineLvl w:val="9"/>
              <w:rPr>
                <w:rFonts w:ascii="宋体" w:hAnsi="宋体" w:cs="宋体"/>
                <w:color w:val="000000"/>
                <w:kern w:val="0"/>
                <w:sz w:val="20"/>
                <w:szCs w:val="20"/>
              </w:rPr>
            </w:pPr>
          </w:p>
        </w:tc>
        <w:tc>
          <w:tcPr>
            <w:tcW w:w="931" w:type="dxa"/>
            <w:noWrap/>
            <w:vAlign w:val="center"/>
          </w:tcPr>
          <w:p>
            <w:pPr>
              <w:widowControl/>
              <w:jc w:val="center"/>
              <w:outlineLvl w:val="9"/>
              <w:rPr>
                <w:rFonts w:ascii="宋体" w:hAnsi="宋体" w:cs="宋体"/>
                <w:color w:val="000000"/>
                <w:kern w:val="0"/>
                <w:sz w:val="20"/>
                <w:szCs w:val="20"/>
              </w:rPr>
            </w:pPr>
          </w:p>
        </w:tc>
      </w:tr>
      <w:tr>
        <w:trPr>
          <w:trHeight w:val="630" w:hRule="atLeast"/>
        </w:trPr>
        <w:tc>
          <w:tcPr>
            <w:tcW w:w="756" w:type="dxa"/>
            <w:vMerge w:val="continue"/>
            <w:shd w:val="clear" w:color="auto" w:fill="auto"/>
            <w:noWrap w:val="0"/>
            <w:vAlign w:val="center"/>
          </w:tcPr>
          <w:p>
            <w:pPr>
              <w:widowControl/>
              <w:jc w:val="left"/>
              <w:outlineLvl w:val="9"/>
              <w:rPr>
                <w:rFonts w:ascii="宋体" w:hAnsi="宋体" w:cs="宋体"/>
                <w:color w:val="000000"/>
                <w:kern w:val="0"/>
                <w:sz w:val="20"/>
                <w:szCs w:val="20"/>
              </w:rPr>
            </w:pPr>
          </w:p>
        </w:tc>
        <w:tc>
          <w:tcPr>
            <w:tcW w:w="1095" w:type="dxa"/>
            <w:shd w:val="clear" w:color="auto" w:fill="auto"/>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安全通道</w:t>
            </w:r>
          </w:p>
        </w:tc>
        <w:tc>
          <w:tcPr>
            <w:tcW w:w="2040" w:type="dxa"/>
            <w:shd w:val="clear" w:color="auto" w:fill="auto"/>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sz w:val="20"/>
                <w:szCs w:val="20"/>
                <w:lang w:val="en-US" w:eastAsia="zh-CN"/>
              </w:rPr>
              <w:t>跌落伤害</w:t>
            </w:r>
            <w:r>
              <w:rPr>
                <w:rFonts w:hint="eastAsia" w:ascii="宋体" w:hAnsi="宋体" w:cs="宋体"/>
                <w:color w:val="000000"/>
                <w:sz w:val="20"/>
                <w:szCs w:val="20"/>
                <w:lang w:val="en-US" w:eastAsia="zh-CN"/>
              </w:rPr>
              <w:t>。</w:t>
            </w:r>
          </w:p>
        </w:tc>
        <w:tc>
          <w:tcPr>
            <w:tcW w:w="3150" w:type="dxa"/>
            <w:shd w:val="clear" w:color="000000" w:fill="FFFFFF"/>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爬梯、护圈、栏杆和走廊符合</w:t>
            </w:r>
            <w:r>
              <w:rPr>
                <w:rFonts w:hint="eastAsia" w:ascii="宋体" w:hAnsi="宋体" w:eastAsia="宋体" w:cs="宋体"/>
                <w:color w:val="000000"/>
                <w:kern w:val="0"/>
                <w:sz w:val="20"/>
                <w:szCs w:val="20"/>
                <w:lang w:val="en-US" w:eastAsia="zh-CN"/>
              </w:rPr>
              <w:t>起重机安全技术规范要求</w:t>
            </w:r>
            <w:r>
              <w:rPr>
                <w:rFonts w:hint="eastAsia" w:ascii="宋体" w:hAnsi="宋体" w:cs="宋体"/>
                <w:color w:val="000000"/>
                <w:kern w:val="0"/>
                <w:sz w:val="20"/>
                <w:szCs w:val="20"/>
                <w:lang w:val="en-US" w:eastAsia="zh-CN"/>
              </w:rPr>
              <w:t>。</w:t>
            </w:r>
          </w:p>
        </w:tc>
        <w:tc>
          <w:tcPr>
            <w:tcW w:w="4171" w:type="dxa"/>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对</w:t>
            </w:r>
            <w:r>
              <w:rPr>
                <w:rFonts w:hint="eastAsia" w:ascii="宋体" w:hAnsi="宋体" w:eastAsia="宋体" w:cs="宋体"/>
                <w:color w:val="000000"/>
                <w:kern w:val="0"/>
                <w:sz w:val="20"/>
                <w:szCs w:val="20"/>
                <w:lang w:val="en-US" w:eastAsia="zh-CN"/>
              </w:rPr>
              <w:t>安全通道</w:t>
            </w:r>
            <w:r>
              <w:rPr>
                <w:rFonts w:hint="eastAsia" w:ascii="宋体" w:hAnsi="宋体" w:eastAsia="宋体" w:cs="宋体"/>
                <w:color w:val="000000"/>
                <w:kern w:val="0"/>
                <w:sz w:val="20"/>
                <w:szCs w:val="20"/>
              </w:rPr>
              <w:t>经常性的检查、维护、保养</w:t>
            </w:r>
            <w:r>
              <w:rPr>
                <w:rFonts w:hint="eastAsia" w:ascii="宋体" w:hAnsi="宋体" w:cs="宋体"/>
                <w:color w:val="000000"/>
                <w:kern w:val="0"/>
                <w:sz w:val="20"/>
                <w:szCs w:val="20"/>
                <w:lang w:eastAsia="zh-CN"/>
              </w:rPr>
              <w:t>。</w:t>
            </w:r>
          </w:p>
        </w:tc>
        <w:tc>
          <w:tcPr>
            <w:tcW w:w="780" w:type="dxa"/>
            <w:noWrap/>
            <w:vAlign w:val="center"/>
          </w:tcPr>
          <w:p>
            <w:pPr>
              <w:widowControl/>
              <w:jc w:val="center"/>
              <w:outlineLvl w:val="9"/>
              <w:rPr>
                <w:rFonts w:ascii="宋体" w:hAnsi="宋体" w:cs="宋体"/>
                <w:color w:val="000000"/>
                <w:kern w:val="0"/>
                <w:sz w:val="20"/>
                <w:szCs w:val="20"/>
              </w:rPr>
            </w:pPr>
          </w:p>
        </w:tc>
        <w:tc>
          <w:tcPr>
            <w:tcW w:w="824" w:type="dxa"/>
            <w:noWrap/>
            <w:vAlign w:val="center"/>
          </w:tcPr>
          <w:p>
            <w:pPr>
              <w:widowControl/>
              <w:jc w:val="center"/>
              <w:outlineLvl w:val="9"/>
              <w:rPr>
                <w:rFonts w:ascii="宋体" w:hAnsi="宋体" w:cs="宋体"/>
                <w:color w:val="000000"/>
                <w:kern w:val="0"/>
                <w:sz w:val="20"/>
                <w:szCs w:val="20"/>
              </w:rPr>
            </w:pPr>
          </w:p>
        </w:tc>
        <w:tc>
          <w:tcPr>
            <w:tcW w:w="931" w:type="dxa"/>
            <w:noWrap/>
            <w:vAlign w:val="center"/>
          </w:tcPr>
          <w:p>
            <w:pPr>
              <w:widowControl/>
              <w:jc w:val="center"/>
              <w:outlineLvl w:val="9"/>
              <w:rPr>
                <w:rFonts w:ascii="宋体" w:hAnsi="宋体" w:cs="宋体"/>
                <w:color w:val="000000"/>
                <w:kern w:val="0"/>
                <w:sz w:val="20"/>
                <w:szCs w:val="20"/>
              </w:rPr>
            </w:pPr>
          </w:p>
        </w:tc>
      </w:tr>
      <w:tr>
        <w:trPr>
          <w:trHeight w:val="835" w:hRule="atLeast"/>
        </w:trPr>
        <w:tc>
          <w:tcPr>
            <w:tcW w:w="756" w:type="dxa"/>
            <w:vMerge w:val="continue"/>
            <w:shd w:val="clear" w:color="auto" w:fill="auto"/>
            <w:noWrap w:val="0"/>
            <w:vAlign w:val="center"/>
          </w:tcPr>
          <w:p>
            <w:pPr>
              <w:widowControl/>
              <w:jc w:val="left"/>
              <w:outlineLvl w:val="9"/>
              <w:rPr>
                <w:rFonts w:ascii="宋体" w:hAnsi="宋体" w:cs="宋体"/>
                <w:color w:val="000000"/>
                <w:kern w:val="0"/>
                <w:sz w:val="20"/>
                <w:szCs w:val="20"/>
              </w:rPr>
            </w:pPr>
          </w:p>
        </w:tc>
        <w:tc>
          <w:tcPr>
            <w:tcW w:w="1095" w:type="dxa"/>
            <w:shd w:val="clear" w:color="auto" w:fill="auto"/>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吊钩、卷筒、滑轮</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钢丝绳</w:t>
            </w:r>
          </w:p>
        </w:tc>
        <w:tc>
          <w:tcPr>
            <w:tcW w:w="2040" w:type="dxa"/>
            <w:shd w:val="clear" w:color="auto" w:fill="auto"/>
            <w:noWrap w:val="0"/>
            <w:vAlign w:val="center"/>
          </w:tcPr>
          <w:p>
            <w:pPr>
              <w:widowControl/>
              <w:jc w:val="center"/>
              <w:rPr>
                <w:rFonts w:hint="eastAsia"/>
                <w:lang w:val="en-US" w:eastAsia="zh-CN"/>
              </w:rPr>
            </w:pPr>
            <w:r>
              <w:rPr>
                <w:rFonts w:hint="eastAsia"/>
                <w:lang w:val="en-US" w:eastAsia="zh-CN"/>
              </w:rPr>
              <w:t>磨损、变形、腐蚀，钢丝绳断丝、磨损、笼状畸变</w:t>
            </w:r>
          </w:p>
        </w:tc>
        <w:tc>
          <w:tcPr>
            <w:tcW w:w="3150" w:type="dxa"/>
            <w:shd w:val="clear" w:color="000000" w:fill="FFFFFF"/>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sz w:val="20"/>
                <w:szCs w:val="20"/>
              </w:rPr>
              <w:t>吊钩、卷筒、滑轮磨损、变形</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腐蚀</w:t>
            </w:r>
            <w:r>
              <w:rPr>
                <w:rFonts w:hint="eastAsia" w:ascii="宋体" w:hAnsi="宋体" w:eastAsia="宋体" w:cs="宋体"/>
                <w:color w:val="000000"/>
                <w:sz w:val="20"/>
                <w:szCs w:val="20"/>
              </w:rPr>
              <w:t>应在规定允许范围内且安装钢丝绳</w:t>
            </w:r>
            <w:r>
              <w:rPr>
                <w:rFonts w:hint="eastAsia" w:ascii="宋体" w:hAnsi="宋体" w:eastAsia="宋体" w:cs="宋体"/>
                <w:color w:val="000000"/>
                <w:sz w:val="20"/>
                <w:szCs w:val="20"/>
                <w:lang w:val="en-US" w:eastAsia="zh-CN"/>
              </w:rPr>
              <w:t>防</w:t>
            </w:r>
            <w:r>
              <w:rPr>
                <w:rFonts w:hint="eastAsia" w:ascii="宋体" w:hAnsi="宋体" w:eastAsia="宋体" w:cs="宋体"/>
                <w:color w:val="000000"/>
                <w:sz w:val="20"/>
                <w:szCs w:val="20"/>
              </w:rPr>
              <w:t>脱装置。</w:t>
            </w:r>
          </w:p>
        </w:tc>
        <w:tc>
          <w:tcPr>
            <w:tcW w:w="4171" w:type="dxa"/>
            <w:noWrap w:val="0"/>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CN"/>
              </w:rPr>
              <w:t>对</w:t>
            </w:r>
            <w:r>
              <w:rPr>
                <w:rFonts w:hint="eastAsia" w:ascii="宋体" w:hAnsi="宋体" w:eastAsia="宋体" w:cs="宋体"/>
                <w:color w:val="000000"/>
                <w:sz w:val="20"/>
                <w:szCs w:val="20"/>
              </w:rPr>
              <w:t>吊钩、卷筒、滑轮磨损、变形应在规定允许范围内</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且安装钢丝绳</w:t>
            </w:r>
            <w:r>
              <w:rPr>
                <w:rFonts w:hint="eastAsia" w:ascii="宋体" w:hAnsi="宋体" w:eastAsia="宋体" w:cs="宋体"/>
                <w:color w:val="000000"/>
                <w:sz w:val="20"/>
                <w:szCs w:val="20"/>
                <w:lang w:val="en-US" w:eastAsia="zh-CN"/>
              </w:rPr>
              <w:t>防</w:t>
            </w:r>
            <w:r>
              <w:rPr>
                <w:rFonts w:hint="eastAsia" w:ascii="宋体" w:hAnsi="宋体" w:eastAsia="宋体" w:cs="宋体"/>
                <w:color w:val="000000"/>
                <w:sz w:val="20"/>
                <w:szCs w:val="20"/>
              </w:rPr>
              <w:t>脱装置；</w:t>
            </w:r>
          </w:p>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2.对吊钩、卷筒、滑轮经常性的检查、维护、保养；</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3.吊钩严禁焊补</w:t>
            </w:r>
            <w:r>
              <w:rPr>
                <w:rFonts w:hint="eastAsia" w:ascii="宋体" w:hAnsi="宋体" w:cs="宋体"/>
                <w:color w:val="000000"/>
                <w:kern w:val="0"/>
                <w:sz w:val="20"/>
                <w:szCs w:val="20"/>
                <w:lang w:val="en-US" w:eastAsia="zh-CN"/>
              </w:rPr>
              <w:t>。</w:t>
            </w:r>
          </w:p>
        </w:tc>
        <w:tc>
          <w:tcPr>
            <w:tcW w:w="780" w:type="dxa"/>
            <w:noWrap/>
            <w:vAlign w:val="center"/>
          </w:tcPr>
          <w:p>
            <w:pPr>
              <w:widowControl/>
              <w:jc w:val="center"/>
              <w:outlineLvl w:val="9"/>
              <w:rPr>
                <w:rFonts w:ascii="宋体" w:hAnsi="宋体" w:cs="宋体"/>
                <w:color w:val="000000"/>
                <w:kern w:val="0"/>
                <w:sz w:val="20"/>
                <w:szCs w:val="20"/>
              </w:rPr>
            </w:pPr>
          </w:p>
        </w:tc>
        <w:tc>
          <w:tcPr>
            <w:tcW w:w="824" w:type="dxa"/>
            <w:noWrap/>
            <w:vAlign w:val="center"/>
          </w:tcPr>
          <w:p>
            <w:pPr>
              <w:widowControl/>
              <w:jc w:val="center"/>
              <w:outlineLvl w:val="9"/>
              <w:rPr>
                <w:rFonts w:ascii="宋体" w:hAnsi="宋体" w:cs="宋体"/>
                <w:color w:val="000000"/>
                <w:kern w:val="0"/>
                <w:sz w:val="20"/>
                <w:szCs w:val="20"/>
              </w:rPr>
            </w:pPr>
          </w:p>
        </w:tc>
        <w:tc>
          <w:tcPr>
            <w:tcW w:w="931" w:type="dxa"/>
            <w:noWrap/>
            <w:vAlign w:val="center"/>
          </w:tcPr>
          <w:p>
            <w:pPr>
              <w:widowControl/>
              <w:jc w:val="center"/>
              <w:outlineLvl w:val="9"/>
              <w:rPr>
                <w:rFonts w:ascii="宋体" w:hAnsi="宋体" w:cs="宋体"/>
                <w:color w:val="000000"/>
                <w:kern w:val="0"/>
                <w:sz w:val="20"/>
                <w:szCs w:val="20"/>
              </w:rPr>
            </w:pPr>
          </w:p>
        </w:tc>
      </w:tr>
      <w:tr>
        <w:trPr>
          <w:trHeight w:val="1196" w:hRule="atLeast"/>
        </w:trPr>
        <w:tc>
          <w:tcPr>
            <w:tcW w:w="756" w:type="dxa"/>
            <w:vMerge w:val="continue"/>
            <w:shd w:val="clear" w:color="auto" w:fill="auto"/>
            <w:noWrap w:val="0"/>
            <w:vAlign w:val="center"/>
          </w:tcPr>
          <w:p>
            <w:pPr>
              <w:widowControl/>
              <w:jc w:val="left"/>
              <w:outlineLvl w:val="9"/>
              <w:rPr>
                <w:rFonts w:ascii="宋体" w:hAnsi="宋体" w:cs="宋体"/>
                <w:color w:val="000000"/>
                <w:kern w:val="0"/>
                <w:sz w:val="20"/>
                <w:szCs w:val="20"/>
              </w:rPr>
            </w:pPr>
          </w:p>
        </w:tc>
        <w:tc>
          <w:tcPr>
            <w:tcW w:w="1095" w:type="dxa"/>
            <w:shd w:val="clear" w:color="auto" w:fill="auto"/>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小车保护装置</w:t>
            </w:r>
          </w:p>
        </w:tc>
        <w:tc>
          <w:tcPr>
            <w:tcW w:w="2040" w:type="dxa"/>
            <w:shd w:val="clear" w:color="auto" w:fill="auto"/>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sz w:val="20"/>
                <w:szCs w:val="20"/>
                <w:lang w:val="en-US" w:eastAsia="zh-CN"/>
              </w:rPr>
              <w:t>碰撞、坠落</w:t>
            </w:r>
          </w:p>
        </w:tc>
        <w:tc>
          <w:tcPr>
            <w:tcW w:w="3150" w:type="dxa"/>
            <w:shd w:val="clear" w:color="000000" w:fill="FFFFFF"/>
            <w:noWrap w:val="0"/>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1.小车变幅</w:t>
            </w:r>
            <w:r>
              <w:rPr>
                <w:rFonts w:hint="eastAsia" w:ascii="宋体" w:hAnsi="宋体" w:eastAsia="宋体" w:cs="宋体"/>
                <w:color w:val="000000"/>
                <w:sz w:val="20"/>
                <w:szCs w:val="20"/>
                <w:lang w:val="en-US" w:eastAsia="zh-CN"/>
              </w:rPr>
              <w:t>的</w:t>
            </w:r>
            <w:r>
              <w:rPr>
                <w:rFonts w:hint="eastAsia" w:ascii="宋体" w:hAnsi="宋体" w:eastAsia="宋体" w:cs="宋体"/>
                <w:color w:val="000000"/>
                <w:sz w:val="20"/>
                <w:szCs w:val="20"/>
              </w:rPr>
              <w:t>起重机</w:t>
            </w:r>
            <w:r>
              <w:rPr>
                <w:rFonts w:hint="eastAsia" w:ascii="宋体" w:hAnsi="宋体" w:eastAsia="宋体" w:cs="宋体"/>
                <w:color w:val="000000"/>
                <w:sz w:val="20"/>
                <w:szCs w:val="20"/>
                <w:lang w:val="en-US" w:eastAsia="zh-CN"/>
              </w:rPr>
              <w:t>应</w:t>
            </w:r>
            <w:r>
              <w:rPr>
                <w:rFonts w:hint="eastAsia" w:ascii="宋体" w:hAnsi="宋体" w:eastAsia="宋体" w:cs="宋体"/>
                <w:color w:val="000000"/>
                <w:sz w:val="20"/>
                <w:szCs w:val="20"/>
              </w:rPr>
              <w:t>安装断绳保护装置及断轴保护装置；</w:t>
            </w:r>
          </w:p>
          <w:p>
            <w:pPr>
              <w:widowControl/>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2.行走及小车变幅的轨道行程末端安装缓冲器及止挡装置应符合规范要求。</w:t>
            </w:r>
          </w:p>
        </w:tc>
        <w:tc>
          <w:tcPr>
            <w:tcW w:w="4171" w:type="dxa"/>
            <w:noWrap w:val="0"/>
            <w:vAlign w:val="center"/>
          </w:tcPr>
          <w:p>
            <w:pPr>
              <w:widowControl/>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根据相关安全技术规范要求加强日常检查。</w:t>
            </w:r>
          </w:p>
        </w:tc>
        <w:tc>
          <w:tcPr>
            <w:tcW w:w="780" w:type="dxa"/>
            <w:noWrap/>
            <w:vAlign w:val="center"/>
          </w:tcPr>
          <w:p>
            <w:pPr>
              <w:widowControl/>
              <w:jc w:val="center"/>
              <w:outlineLvl w:val="9"/>
              <w:rPr>
                <w:rFonts w:ascii="宋体" w:hAnsi="宋体" w:cs="宋体"/>
                <w:color w:val="000000"/>
                <w:kern w:val="0"/>
                <w:sz w:val="20"/>
                <w:szCs w:val="20"/>
              </w:rPr>
            </w:pPr>
          </w:p>
        </w:tc>
        <w:tc>
          <w:tcPr>
            <w:tcW w:w="824" w:type="dxa"/>
            <w:noWrap/>
            <w:vAlign w:val="center"/>
          </w:tcPr>
          <w:p>
            <w:pPr>
              <w:widowControl/>
              <w:jc w:val="center"/>
              <w:outlineLvl w:val="9"/>
              <w:rPr>
                <w:rFonts w:ascii="宋体" w:hAnsi="宋体" w:cs="宋体"/>
                <w:color w:val="000000"/>
                <w:kern w:val="0"/>
                <w:sz w:val="20"/>
                <w:szCs w:val="20"/>
              </w:rPr>
            </w:pPr>
          </w:p>
        </w:tc>
        <w:tc>
          <w:tcPr>
            <w:tcW w:w="931" w:type="dxa"/>
            <w:noWrap/>
            <w:vAlign w:val="center"/>
          </w:tcPr>
          <w:p>
            <w:pPr>
              <w:widowControl/>
              <w:jc w:val="center"/>
              <w:outlineLvl w:val="9"/>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756" w:type="dxa"/>
            <w:vMerge w:val="continue"/>
            <w:shd w:val="clear" w:color="auto" w:fill="auto"/>
            <w:noWrap w:val="0"/>
            <w:vAlign w:val="center"/>
          </w:tcPr>
          <w:p>
            <w:pPr>
              <w:widowControl/>
              <w:jc w:val="left"/>
              <w:outlineLvl w:val="9"/>
              <w:rPr>
                <w:rFonts w:ascii="宋体" w:hAnsi="宋体" w:cs="宋体"/>
                <w:color w:val="000000"/>
                <w:kern w:val="0"/>
                <w:sz w:val="20"/>
                <w:szCs w:val="20"/>
              </w:rPr>
            </w:pPr>
          </w:p>
        </w:tc>
        <w:tc>
          <w:tcPr>
            <w:tcW w:w="1095" w:type="dxa"/>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安全监控系统</w:t>
            </w:r>
          </w:p>
        </w:tc>
        <w:tc>
          <w:tcPr>
            <w:tcW w:w="2040" w:type="dxa"/>
            <w:shd w:val="clear" w:color="auto" w:fill="auto"/>
            <w:noWrap w:val="0"/>
            <w:vAlign w:val="center"/>
          </w:tcPr>
          <w:p>
            <w:pPr>
              <w:widowControl/>
              <w:jc w:val="center"/>
              <w:rPr>
                <w:rFonts w:hint="eastAsia" w:ascii="宋体" w:hAnsi="宋体" w:eastAsia="宋体" w:cs="宋体"/>
                <w:color w:val="000000"/>
                <w:sz w:val="20"/>
                <w:szCs w:val="20"/>
              </w:rPr>
            </w:pPr>
            <w:r>
              <w:rPr>
                <w:rFonts w:hint="eastAsia" w:ascii="宋体" w:hAnsi="宋体" w:cs="宋体"/>
                <w:color w:val="000000"/>
                <w:sz w:val="20"/>
                <w:szCs w:val="20"/>
                <w:lang w:val="en-US" w:eastAsia="zh-CN"/>
              </w:rPr>
              <w:t>失效后不能及时监测，造成</w:t>
            </w:r>
            <w:r>
              <w:rPr>
                <w:rFonts w:hint="eastAsia" w:ascii="宋体" w:hAnsi="宋体" w:eastAsia="宋体" w:cs="宋体"/>
                <w:color w:val="000000"/>
                <w:sz w:val="20"/>
                <w:szCs w:val="20"/>
                <w:lang w:val="en-US" w:eastAsia="zh-CN"/>
              </w:rPr>
              <w:t>失稳、倾覆、碰撞</w:t>
            </w:r>
            <w:r>
              <w:rPr>
                <w:rFonts w:hint="eastAsia" w:ascii="宋体" w:hAnsi="宋体" w:cs="宋体"/>
                <w:color w:val="000000"/>
                <w:sz w:val="20"/>
                <w:szCs w:val="20"/>
                <w:lang w:val="en-US" w:eastAsia="zh-CN"/>
              </w:rPr>
              <w:t>。</w:t>
            </w:r>
          </w:p>
        </w:tc>
        <w:tc>
          <w:tcPr>
            <w:tcW w:w="3150" w:type="dxa"/>
            <w:shd w:val="clear" w:color="000000" w:fill="FFFFFF"/>
            <w:noWrap w:val="0"/>
            <w:vAlign w:val="center"/>
          </w:tcPr>
          <w:p>
            <w:pPr>
              <w:widowControl/>
              <w:jc w:val="left"/>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安全监控系统的设置应符合相应安全技术规范要求</w:t>
            </w:r>
            <w:r>
              <w:rPr>
                <w:rFonts w:hint="eastAsia" w:ascii="宋体" w:hAnsi="宋体" w:cs="宋体"/>
                <w:color w:val="000000"/>
                <w:kern w:val="0"/>
                <w:sz w:val="20"/>
                <w:szCs w:val="20"/>
                <w:lang w:val="en-US" w:eastAsia="zh-CN"/>
              </w:rPr>
              <w:t>。</w:t>
            </w:r>
          </w:p>
        </w:tc>
        <w:tc>
          <w:tcPr>
            <w:tcW w:w="4171" w:type="dxa"/>
            <w:noWrap w:val="0"/>
            <w:vAlign w:val="center"/>
          </w:tcPr>
          <w:p>
            <w:pPr>
              <w:tabs>
                <w:tab w:val="left" w:pos="959"/>
              </w:tabs>
              <w:bidi w:val="0"/>
              <w:jc w:val="left"/>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根据相关安全技术规范要求加强日常检。</w:t>
            </w:r>
          </w:p>
        </w:tc>
        <w:tc>
          <w:tcPr>
            <w:tcW w:w="780" w:type="dxa"/>
            <w:noWrap/>
            <w:vAlign w:val="center"/>
          </w:tcPr>
          <w:p>
            <w:pPr>
              <w:widowControl/>
              <w:jc w:val="center"/>
              <w:outlineLvl w:val="9"/>
              <w:rPr>
                <w:rFonts w:ascii="宋体" w:hAnsi="宋体" w:cs="宋体"/>
                <w:color w:val="000000"/>
                <w:kern w:val="0"/>
                <w:sz w:val="20"/>
                <w:szCs w:val="20"/>
              </w:rPr>
            </w:pPr>
          </w:p>
        </w:tc>
        <w:tc>
          <w:tcPr>
            <w:tcW w:w="824" w:type="dxa"/>
            <w:noWrap/>
            <w:vAlign w:val="center"/>
          </w:tcPr>
          <w:p>
            <w:pPr>
              <w:widowControl/>
              <w:jc w:val="center"/>
              <w:outlineLvl w:val="9"/>
              <w:rPr>
                <w:rFonts w:ascii="宋体" w:hAnsi="宋体" w:cs="宋体"/>
                <w:color w:val="000000"/>
                <w:kern w:val="0"/>
                <w:sz w:val="20"/>
                <w:szCs w:val="20"/>
              </w:rPr>
            </w:pPr>
          </w:p>
        </w:tc>
        <w:tc>
          <w:tcPr>
            <w:tcW w:w="931" w:type="dxa"/>
            <w:noWrap/>
            <w:vAlign w:val="center"/>
          </w:tcPr>
          <w:p>
            <w:pPr>
              <w:widowControl/>
              <w:jc w:val="center"/>
              <w:outlineLvl w:val="9"/>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756" w:type="dxa"/>
            <w:vMerge w:val="continue"/>
            <w:shd w:val="clear" w:color="auto" w:fill="auto"/>
            <w:noWrap w:val="0"/>
            <w:vAlign w:val="center"/>
          </w:tcPr>
          <w:p>
            <w:pPr>
              <w:widowControl/>
              <w:jc w:val="left"/>
              <w:outlineLvl w:val="9"/>
              <w:rPr>
                <w:rFonts w:ascii="宋体" w:hAnsi="宋体" w:cs="宋体"/>
                <w:color w:val="000000"/>
                <w:kern w:val="0"/>
                <w:sz w:val="22"/>
                <w:szCs w:val="22"/>
              </w:rPr>
            </w:pPr>
          </w:p>
        </w:tc>
        <w:tc>
          <w:tcPr>
            <w:tcW w:w="1095" w:type="dxa"/>
            <w:shd w:val="clear" w:color="auto" w:fill="auto"/>
            <w:noWrap w:val="0"/>
            <w:vAlign w:val="center"/>
          </w:tcPr>
          <w:p>
            <w:pPr>
              <w:widowControl/>
              <w:jc w:val="center"/>
              <w:outlineLvl w:val="9"/>
              <w:rPr>
                <w:rFonts w:ascii="宋体" w:hAnsi="宋体" w:cs="宋体"/>
                <w:color w:val="000000"/>
                <w:kern w:val="0"/>
                <w:sz w:val="22"/>
                <w:szCs w:val="22"/>
              </w:rPr>
            </w:pPr>
            <w:r>
              <w:rPr>
                <w:rFonts w:hint="eastAsia" w:eastAsia="仿宋"/>
                <w:sz w:val="24"/>
              </w:rPr>
              <w:t>……</w:t>
            </w:r>
          </w:p>
        </w:tc>
        <w:tc>
          <w:tcPr>
            <w:tcW w:w="2040" w:type="dxa"/>
            <w:shd w:val="clear" w:color="auto" w:fill="auto"/>
            <w:noWrap w:val="0"/>
            <w:vAlign w:val="center"/>
          </w:tcPr>
          <w:p>
            <w:pPr>
              <w:widowControl/>
              <w:jc w:val="center"/>
              <w:outlineLvl w:val="9"/>
              <w:rPr>
                <w:rFonts w:ascii="宋体" w:hAnsi="宋体" w:cs="宋体"/>
                <w:color w:val="000000"/>
                <w:kern w:val="0"/>
                <w:sz w:val="22"/>
                <w:szCs w:val="22"/>
              </w:rPr>
            </w:pPr>
            <w:r>
              <w:rPr>
                <w:rFonts w:hint="eastAsia" w:eastAsia="仿宋"/>
                <w:sz w:val="24"/>
              </w:rPr>
              <w:t>……</w:t>
            </w:r>
          </w:p>
        </w:tc>
        <w:tc>
          <w:tcPr>
            <w:tcW w:w="3150" w:type="dxa"/>
            <w:shd w:val="clear" w:color="000000" w:fill="FFFFFF"/>
            <w:noWrap w:val="0"/>
            <w:vAlign w:val="center"/>
          </w:tcPr>
          <w:p>
            <w:pPr>
              <w:widowControl/>
              <w:jc w:val="center"/>
              <w:outlineLvl w:val="9"/>
              <w:rPr>
                <w:rFonts w:ascii="宋体" w:hAnsi="宋体" w:cs="宋体"/>
                <w:color w:val="000000"/>
                <w:kern w:val="0"/>
                <w:sz w:val="22"/>
                <w:szCs w:val="22"/>
              </w:rPr>
            </w:pPr>
            <w:r>
              <w:rPr>
                <w:rFonts w:hint="eastAsia" w:eastAsia="仿宋"/>
                <w:sz w:val="24"/>
              </w:rPr>
              <w:t>……</w:t>
            </w:r>
          </w:p>
        </w:tc>
        <w:tc>
          <w:tcPr>
            <w:tcW w:w="4171" w:type="dxa"/>
            <w:noWrap w:val="0"/>
            <w:vAlign w:val="center"/>
          </w:tcPr>
          <w:p>
            <w:pPr>
              <w:widowControl/>
              <w:jc w:val="center"/>
              <w:outlineLvl w:val="9"/>
              <w:rPr>
                <w:rFonts w:ascii="宋体" w:hAnsi="宋体" w:cs="宋体"/>
                <w:color w:val="000000"/>
                <w:kern w:val="0"/>
                <w:sz w:val="22"/>
                <w:szCs w:val="22"/>
              </w:rPr>
            </w:pPr>
            <w:r>
              <w:rPr>
                <w:rFonts w:hint="eastAsia" w:eastAsia="仿宋"/>
                <w:sz w:val="24"/>
              </w:rPr>
              <w:t>……</w:t>
            </w:r>
          </w:p>
        </w:tc>
        <w:tc>
          <w:tcPr>
            <w:tcW w:w="780" w:type="dxa"/>
            <w:noWrap/>
            <w:vAlign w:val="center"/>
          </w:tcPr>
          <w:p>
            <w:pPr>
              <w:widowControl/>
              <w:jc w:val="center"/>
              <w:outlineLvl w:val="9"/>
              <w:rPr>
                <w:rFonts w:ascii="宋体" w:hAnsi="宋体" w:cs="宋体"/>
                <w:color w:val="000000"/>
                <w:kern w:val="0"/>
                <w:sz w:val="22"/>
                <w:szCs w:val="22"/>
              </w:rPr>
            </w:pPr>
            <w:r>
              <w:rPr>
                <w:rFonts w:hint="eastAsia" w:eastAsia="仿宋"/>
                <w:sz w:val="24"/>
              </w:rPr>
              <w:t>……</w:t>
            </w:r>
          </w:p>
        </w:tc>
        <w:tc>
          <w:tcPr>
            <w:tcW w:w="824" w:type="dxa"/>
            <w:noWrap/>
            <w:vAlign w:val="center"/>
          </w:tcPr>
          <w:p>
            <w:pPr>
              <w:widowControl/>
              <w:jc w:val="center"/>
              <w:outlineLvl w:val="9"/>
              <w:rPr>
                <w:rFonts w:ascii="宋体" w:hAnsi="宋体" w:cs="宋体"/>
                <w:color w:val="000000"/>
                <w:kern w:val="0"/>
                <w:sz w:val="22"/>
                <w:szCs w:val="22"/>
              </w:rPr>
            </w:pPr>
            <w:r>
              <w:rPr>
                <w:rFonts w:hint="eastAsia" w:eastAsia="仿宋"/>
                <w:sz w:val="24"/>
              </w:rPr>
              <w:t>……</w:t>
            </w:r>
          </w:p>
        </w:tc>
        <w:tc>
          <w:tcPr>
            <w:tcW w:w="931" w:type="dxa"/>
            <w:noWrap/>
            <w:vAlign w:val="center"/>
          </w:tcPr>
          <w:p>
            <w:pPr>
              <w:widowControl/>
              <w:jc w:val="center"/>
              <w:outlineLvl w:val="9"/>
              <w:rPr>
                <w:rFonts w:ascii="宋体" w:hAnsi="宋体" w:cs="宋体"/>
                <w:color w:val="000000"/>
                <w:kern w:val="0"/>
                <w:sz w:val="22"/>
                <w:szCs w:val="22"/>
              </w:rPr>
            </w:pPr>
            <w:r>
              <w:rPr>
                <w:rFonts w:hint="eastAsia" w:eastAsia="仿宋"/>
                <w:sz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B64E3"/>
    <w:rsid w:val="7F7B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ascii="Times New Roman" w:hAnsi="Times New Roman" w:eastAsia="仿宋_GB2312" w:cs="Times New Roman"/>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2023-03-02T15:54:00Z</dcterms:created>
  <dc:creator>WPS_1513130633</dc:creator>
  <cp:lastModifiedBy>WPS_1513130633</cp:lastModifiedBy>
  <dcterms:modified xsi:type="dcterms:W3CDTF">2023-03-02T15:54:43Z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1DE7A70D4652E2842C5600647F274D1B</vt:lpwstr>
  </property>
</Properties>
</file>