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18"/>
        <w:gridCol w:w="1358"/>
        <w:gridCol w:w="636"/>
        <w:gridCol w:w="1493"/>
        <w:gridCol w:w="1176"/>
        <w:gridCol w:w="117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65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重点部位设施</w:t>
            </w:r>
          </w:p>
        </w:tc>
        <w:tc>
          <w:tcPr>
            <w:tcW w:w="34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主要风险概述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管控责任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管控措施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风险等级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责任部门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锅炉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本体</w:t>
            </w:r>
          </w:p>
        </w:tc>
        <w:tc>
          <w:tcPr>
            <w:tcW w:w="34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爆炸或火灾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炉膛燃气爆炸，燃烧器故障，炉外燃气泄漏爆炸，炉管严重爆炸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高温介质泄露；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受压部件爆炸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1.保持锅炉状况良好；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确保锅炉各种保护装置有效运行。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2.保持锅炉消防设施设备配置合理并完好有效。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1.健全各项安全操作规程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并有效实施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2.建立锅炉安全技术档案；对锅炉经常性的检查、维护、保养；加强巡查，注意观察、记录相关仪表的显示；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制定锅炉事故应急专项预案，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发生事故时立即启动事故应急预案进行处理。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炉膛</w:t>
            </w:r>
          </w:p>
        </w:tc>
        <w:tc>
          <w:tcPr>
            <w:tcW w:w="34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泄漏或爆管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引起锅炉缺水，炉膛熄火等现象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炉膛爆炸。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保证水管道、耐火层材料完好，定期检查测厚度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确保点火控制程序和熄火保护程序有效运行。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及时停炉处理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定期进行保护功能试验。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锅筒</w:t>
            </w:r>
          </w:p>
        </w:tc>
        <w:tc>
          <w:tcPr>
            <w:tcW w:w="349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锅筒缺水引起干烧，造成锅筒鼓包、爆炸。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水垢引起锅筒超温、爆炸。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自动上水功能失效、司炉工误操作、锅筒假水位等引起缺水。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水质处理不合格。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司炉工持证上岗，严格按照锅炉操作规程进行造作；定期对水位计进行冲洗。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定期进行水质化验，根据水汽品质进行排污调整。定期进行内部检查，发现结垢，及时处理。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保温层</w:t>
            </w:r>
          </w:p>
        </w:tc>
        <w:tc>
          <w:tcPr>
            <w:tcW w:w="34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损坏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造成人员烫伤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热损失。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保证保温层完好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加强巡回检查，及时发现并处理损坏的保温层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安全阀</w:t>
            </w:r>
          </w:p>
        </w:tc>
        <w:tc>
          <w:tcPr>
            <w:tcW w:w="34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设备超压时安全阀不能启动泄压对</w:t>
            </w:r>
            <w:r>
              <w:rPr>
                <w:rFonts w:hint="eastAsia" w:ascii="宋体" w:hAnsi="宋体" w:eastAsia="宋体" w:cs="宋体"/>
                <w:strike/>
                <w:dstrike w:val="0"/>
                <w:kern w:val="0"/>
                <w:sz w:val="21"/>
                <w:szCs w:val="21"/>
              </w:rPr>
              <w:t>管道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FF0000"/>
                <w:kern w:val="0"/>
                <w:sz w:val="21"/>
                <w:szCs w:val="21"/>
                <w:lang w:val="en-US" w:eastAsia="zh-CN"/>
              </w:rPr>
              <w:t>锅炉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保护，造成设备损坏甚至</w:t>
            </w:r>
            <w:r>
              <w:rPr>
                <w:rFonts w:hint="eastAsia" w:ascii="宋体" w:hAnsi="宋体" w:eastAsia="宋体" w:cs="宋体"/>
                <w:strike/>
                <w:dstrike w:val="0"/>
                <w:kern w:val="0"/>
                <w:sz w:val="21"/>
                <w:szCs w:val="21"/>
              </w:rPr>
              <w:t>介质泄漏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FF0000"/>
                <w:kern w:val="0"/>
                <w:sz w:val="21"/>
                <w:szCs w:val="21"/>
                <w:lang w:val="en-US" w:eastAsia="zh-CN"/>
              </w:rPr>
              <w:t>爆炸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引起更严重事故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加强安全阀使用管理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1.加强巡回检查，及时发现安全阀泄漏、铅封损坏、调校过期等情况；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2.保证安全阀进管道畅通、排放口安全；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3.设有双安全阀的设备应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按锅炉使用说明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设置不同的起跳压力。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4.按照锅炉使用说明，进行手动排放试验。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支座</w:t>
            </w:r>
          </w:p>
        </w:tc>
        <w:tc>
          <w:tcPr>
            <w:tcW w:w="34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支座热膨胀端卡涩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热膨胀受限，造成锅炉变形，严重时导致损坏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安装、运行时经常检查，确保活动端位移正常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加强巡回检查，及时发现隐患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34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……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  <w:docVar w:name="KSO_WPS_MARK_KEY" w:val="db8a4a6a-0068-4f60-bad9-8a7952492fd9"/>
  </w:docVars>
  <w:rsids>
    <w:rsidRoot w:val="00000000"/>
    <w:rsid w:val="56A3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2023-03-01T07:42:36Z</dcterms:created>
  <dc:creator>Xianjicheng</dc:creator>
  <cp:lastModifiedBy>WPS_1640142967</cp:lastModifiedBy>
  <dcterms:modified xsi:type="dcterms:W3CDTF">2023-03-01T07:42:49Z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89AD68D858D844CDA2DF5914DC8751DC</vt:lpwstr>
  </property>
</Properties>
</file>