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outlineLvl w:val="9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特种设备隐患排查治理清单（</w:t>
      </w:r>
      <w:r>
        <w:rPr>
          <w:rFonts w:hint="eastAsia"/>
          <w:sz w:val="32"/>
          <w:szCs w:val="32"/>
          <w:lang w:val="en-US" w:eastAsia="zh-CN"/>
        </w:rPr>
        <w:t>气瓶充装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）</w:t>
      </w:r>
    </w:p>
    <w:bookmarkEnd w:id="0"/>
    <w:tbl>
      <w:tblPr>
        <w:tblStyle w:val="3"/>
        <w:tblW w:w="1422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3"/>
        <w:gridCol w:w="1275"/>
        <w:gridCol w:w="3686"/>
        <w:gridCol w:w="937"/>
        <w:gridCol w:w="1260"/>
        <w:gridCol w:w="1389"/>
        <w:gridCol w:w="3076"/>
        <w:gridCol w:w="1049"/>
      </w:tblGrid>
      <w:tr>
        <w:trPr>
          <w:trHeight w:val="645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类别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排查标准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事故隐</w:t>
            </w:r>
          </w:p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患分级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排查频次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排查方法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整改措施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ascii="黑体" w:hAnsi="黑体" w:eastAsia="黑体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4"/>
                <w:szCs w:val="21"/>
              </w:rPr>
              <w:t>责任部门</w:t>
            </w:r>
          </w:p>
        </w:tc>
      </w:tr>
      <w:tr>
        <w:trPr>
          <w:trHeight w:val="1065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气瓶充装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安全警示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安全使用说明、安全注意事项和现场安全警示标志。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现场查看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1.结合设备特性制作安全使用说明、安全注意事项和安全警示标志；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2.按要求张贴。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123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气瓶充装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充装设备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1.超装、超压、超温报警或自动切断联锁装置应完好；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2.配备的防止可燃气体与助燃气体或者不相容气体的错装接头完好；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3.装卸软管无皱褶、鼓包、破损；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4.防滑动、防拉脱设施有效；</w:t>
            </w:r>
          </w:p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5.抽空设备、介质分析检测仪器、阻火器和冷却喷淋装置完好。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每班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现场巡查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立即修复或更换，并符合安全技术规范、标准的相应要求。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7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气瓶充装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消防措施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应有气瓶待检区、不合格瓶区、待充装区和充装合格区，有明显隔离措施（设立明显标记）。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现场巡查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按照相关规定进行整改。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7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气瓶充装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充装前检查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严禁充装永久性标记不清或者被修改、超期未检或者检验不合格、翻新和报废气瓶。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实时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逐只查看气瓶制造标志、检验标志和外观情况。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1.立即停用并隔离气瓶；                    2、气瓶送当地质监部门指定的单位（或气瓶定期检验机构）进行消除使用功能处理。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576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outlineLvl w:val="9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气瓶充装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充装后检查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1.检查充装介质及其压力（重量）是否符合规定；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2.检查瓶阀与瓶口连接的密封是否泄漏；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3.检查气瓶是否出现鼓包、变形等严重缺陷和温度异常现象。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实时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逐只检查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立即停用并隔离气瓶，按相关规定处理。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6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outlineLvl w:val="9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6E264"/>
    <w:rsid w:val="7EE6E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ascii="Times New Roman" w:hAnsi="Times New Roman" w:eastAsia="仿宋_GB2312" w:cs="Times New Roman"/>
      <w:spacing w:val="-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2023-03-02T16:07:00Z</dcterms:created>
  <dc:creator>WPS_1513130633</dc:creator>
  <cp:lastModifiedBy>WPS_1513130633</cp:lastModifiedBy>
  <dcterms:modified xsi:type="dcterms:W3CDTF">2023-03-02T16:07:53Z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B6D85D284FF7CAF34959006425AE7FA7</vt:lpwstr>
  </property>
</Properties>
</file>