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221" w:lineRule="auto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4"/>
          <w:sz w:val="37"/>
          <w:szCs w:val="37"/>
        </w:rPr>
        <w:t>特种设备隐患排查治理清单</w:t>
      </w:r>
    </w:p>
    <w:p>
      <w:pPr>
        <w:spacing w:before="200" w:line="222" w:lineRule="auto"/>
        <w:ind w:left="690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2"/>
          <w:sz w:val="29"/>
          <w:szCs w:val="29"/>
        </w:rPr>
        <w:t>(叉车)</w:t>
      </w:r>
    </w:p>
    <w:p/>
    <w:p>
      <w:pPr>
        <w:pStyle w:val="2"/>
        <w:ind w:left="0" w:leftChars="0" w:firstLine="0" w:firstLineChars="0"/>
      </w:pPr>
    </w:p>
    <w:tbl>
      <w:tblPr>
        <w:tblStyle w:val="14"/>
        <w:tblW w:w="14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179"/>
        <w:gridCol w:w="5306"/>
        <w:gridCol w:w="679"/>
        <w:gridCol w:w="1299"/>
        <w:gridCol w:w="2129"/>
        <w:gridCol w:w="3028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05" w:type="dxa"/>
            <w:textDirection w:val="tbRlV"/>
            <w:vAlign w:val="top"/>
          </w:tcPr>
          <w:p>
            <w:pPr>
              <w:spacing w:before="100" w:line="217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179" w:type="dxa"/>
            <w:vAlign w:val="top"/>
          </w:tcPr>
          <w:p>
            <w:pPr>
              <w:spacing w:before="221" w:line="220" w:lineRule="auto"/>
              <w:ind w:left="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21"/>
                <w:szCs w:val="21"/>
              </w:rPr>
              <w:t>项目</w:t>
            </w:r>
          </w:p>
        </w:tc>
        <w:tc>
          <w:tcPr>
            <w:tcW w:w="5306" w:type="dxa"/>
            <w:vAlign w:val="top"/>
          </w:tcPr>
          <w:p>
            <w:pPr>
              <w:spacing w:before="221" w:line="220" w:lineRule="auto"/>
              <w:ind w:left="2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8"/>
                <w:sz w:val="21"/>
                <w:szCs w:val="21"/>
              </w:rPr>
              <w:t>排查标准</w:t>
            </w:r>
          </w:p>
        </w:tc>
        <w:tc>
          <w:tcPr>
            <w:tcW w:w="679" w:type="dxa"/>
            <w:vAlign w:val="top"/>
          </w:tcPr>
          <w:p>
            <w:pPr>
              <w:spacing w:before="67" w:line="245" w:lineRule="auto"/>
              <w:ind w:left="124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隐患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分级</w:t>
            </w:r>
          </w:p>
        </w:tc>
        <w:tc>
          <w:tcPr>
            <w:tcW w:w="1299" w:type="dxa"/>
            <w:vAlign w:val="top"/>
          </w:tcPr>
          <w:p>
            <w:pPr>
              <w:spacing w:before="223" w:line="219" w:lineRule="auto"/>
              <w:ind w:left="2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排查频次</w:t>
            </w:r>
          </w:p>
        </w:tc>
        <w:tc>
          <w:tcPr>
            <w:tcW w:w="2129" w:type="dxa"/>
            <w:vAlign w:val="top"/>
          </w:tcPr>
          <w:p>
            <w:pPr>
              <w:spacing w:before="224" w:line="221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排查方法</w:t>
            </w:r>
          </w:p>
        </w:tc>
        <w:tc>
          <w:tcPr>
            <w:tcW w:w="3028" w:type="dxa"/>
            <w:vAlign w:val="top"/>
          </w:tcPr>
          <w:p>
            <w:pPr>
              <w:spacing w:before="220" w:line="219" w:lineRule="auto"/>
              <w:ind w:left="10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整改措施</w:t>
            </w:r>
          </w:p>
        </w:tc>
        <w:tc>
          <w:tcPr>
            <w:tcW w:w="625" w:type="dxa"/>
            <w:vAlign w:val="top"/>
          </w:tcPr>
          <w:p>
            <w:pPr>
              <w:spacing w:before="59" w:line="233" w:lineRule="auto"/>
              <w:ind w:left="163" w:righ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责任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05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7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车体</w:t>
            </w:r>
          </w:p>
        </w:tc>
        <w:tc>
          <w:tcPr>
            <w:tcW w:w="5306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车身各部件齐全完整。</w:t>
            </w:r>
          </w:p>
        </w:tc>
        <w:tc>
          <w:tcPr>
            <w:tcW w:w="679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一般</w:t>
            </w:r>
          </w:p>
        </w:tc>
        <w:tc>
          <w:tcPr>
            <w:tcW w:w="129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每月</w:t>
            </w:r>
          </w:p>
        </w:tc>
        <w:tc>
          <w:tcPr>
            <w:tcW w:w="212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外观检查</w:t>
            </w:r>
          </w:p>
        </w:tc>
        <w:tc>
          <w:tcPr>
            <w:tcW w:w="3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33" w:lineRule="auto"/>
              <w:ind w:left="37" w:right="21" w:firstLine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1.如有变形、侧倾等现象，应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立即停止使用，并进行检修；</w:t>
            </w:r>
          </w:p>
          <w:p>
            <w:pPr>
              <w:spacing w:line="20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2.补齐缺失部件。</w:t>
            </w:r>
          </w:p>
        </w:tc>
        <w:tc>
          <w:tcPr>
            <w:tcW w:w="6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05" w:type="dxa"/>
            <w:vAlign w:val="top"/>
          </w:tcPr>
          <w:p>
            <w:pPr>
              <w:spacing w:before="306" w:line="183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79" w:type="dxa"/>
            <w:vAlign w:val="top"/>
          </w:tcPr>
          <w:p>
            <w:pPr>
              <w:spacing w:before="251" w:line="219" w:lineRule="auto"/>
              <w:ind w:left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发动机</w:t>
            </w:r>
          </w:p>
        </w:tc>
        <w:tc>
          <w:tcPr>
            <w:tcW w:w="5306" w:type="dxa"/>
            <w:vAlign w:val="top"/>
          </w:tcPr>
          <w:p>
            <w:pPr>
              <w:spacing w:before="251" w:line="21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发动机运行平稳，没有异响，能正常启动、熄火。</w:t>
            </w:r>
          </w:p>
        </w:tc>
        <w:tc>
          <w:tcPr>
            <w:tcW w:w="679" w:type="dxa"/>
            <w:vAlign w:val="top"/>
          </w:tcPr>
          <w:p>
            <w:pPr>
              <w:spacing w:before="253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严重</w:t>
            </w:r>
          </w:p>
        </w:tc>
        <w:tc>
          <w:tcPr>
            <w:tcW w:w="1299" w:type="dxa"/>
            <w:vAlign w:val="top"/>
          </w:tcPr>
          <w:p>
            <w:pPr>
              <w:spacing w:before="252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每月</w:t>
            </w:r>
          </w:p>
        </w:tc>
        <w:tc>
          <w:tcPr>
            <w:tcW w:w="2129" w:type="dxa"/>
            <w:vAlign w:val="top"/>
          </w:tcPr>
          <w:p>
            <w:pPr>
              <w:spacing w:before="252" w:line="219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操作实验</w:t>
            </w:r>
          </w:p>
        </w:tc>
        <w:tc>
          <w:tcPr>
            <w:tcW w:w="3028" w:type="dxa"/>
            <w:vAlign w:val="top"/>
          </w:tcPr>
          <w:p>
            <w:pPr>
              <w:spacing w:before="252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立即停止使用。</w:t>
            </w: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5" w:type="dxa"/>
            <w:vAlign w:val="top"/>
          </w:tcPr>
          <w:p>
            <w:pPr>
              <w:spacing w:before="268" w:line="183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79" w:type="dxa"/>
            <w:vAlign w:val="top"/>
          </w:tcPr>
          <w:p>
            <w:pPr>
              <w:spacing w:before="82" w:line="221" w:lineRule="auto"/>
              <w:ind w:left="160" w:right="157" w:firstLine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货叉或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专用属具</w:t>
            </w:r>
          </w:p>
        </w:tc>
        <w:tc>
          <w:tcPr>
            <w:tcW w:w="5306" w:type="dxa"/>
            <w:vAlign w:val="top"/>
          </w:tcPr>
          <w:p>
            <w:pPr>
              <w:spacing w:before="82" w:line="229" w:lineRule="auto"/>
              <w:ind w:left="20" w:right="15" w:firstLine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货叉或专用属具在叉架上的固定必须可靠，能防止货叉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或属具从叉架上脱落和防止横向滑移和脱落。</w:t>
            </w:r>
          </w:p>
        </w:tc>
        <w:tc>
          <w:tcPr>
            <w:tcW w:w="679" w:type="dxa"/>
            <w:vAlign w:val="top"/>
          </w:tcPr>
          <w:p>
            <w:pPr>
              <w:spacing w:before="215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严重</w:t>
            </w:r>
          </w:p>
        </w:tc>
        <w:tc>
          <w:tcPr>
            <w:tcW w:w="1299" w:type="dxa"/>
            <w:vAlign w:val="top"/>
          </w:tcPr>
          <w:p>
            <w:pPr>
              <w:spacing w:before="214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每月</w:t>
            </w:r>
          </w:p>
        </w:tc>
        <w:tc>
          <w:tcPr>
            <w:tcW w:w="2129" w:type="dxa"/>
            <w:vAlign w:val="top"/>
          </w:tcPr>
          <w:p>
            <w:pPr>
              <w:spacing w:before="214" w:line="219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外观检查</w:t>
            </w:r>
          </w:p>
        </w:tc>
        <w:tc>
          <w:tcPr>
            <w:tcW w:w="3028" w:type="dxa"/>
            <w:vAlign w:val="top"/>
          </w:tcPr>
          <w:p>
            <w:pPr>
              <w:spacing w:before="214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及时检修、维护。</w:t>
            </w: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5" w:type="dxa"/>
            <w:vAlign w:val="top"/>
          </w:tcPr>
          <w:p>
            <w:pPr>
              <w:spacing w:before="269" w:line="183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79" w:type="dxa"/>
            <w:vAlign w:val="top"/>
          </w:tcPr>
          <w:p>
            <w:pPr>
              <w:spacing w:before="215" w:line="219" w:lineRule="auto"/>
              <w:ind w:left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线路、管路</w:t>
            </w:r>
          </w:p>
        </w:tc>
        <w:tc>
          <w:tcPr>
            <w:tcW w:w="5306" w:type="dxa"/>
            <w:vAlign w:val="top"/>
          </w:tcPr>
          <w:p>
            <w:pPr>
              <w:spacing w:before="215" w:line="21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线路、管路无漏水、漏油现象。</w:t>
            </w:r>
          </w:p>
        </w:tc>
        <w:tc>
          <w:tcPr>
            <w:tcW w:w="679" w:type="dxa"/>
            <w:vAlign w:val="top"/>
          </w:tcPr>
          <w:p>
            <w:pPr>
              <w:spacing w:before="216" w:line="22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一般</w:t>
            </w:r>
          </w:p>
        </w:tc>
        <w:tc>
          <w:tcPr>
            <w:tcW w:w="1299" w:type="dxa"/>
            <w:vAlign w:val="top"/>
          </w:tcPr>
          <w:p>
            <w:pPr>
              <w:spacing w:before="215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每月</w:t>
            </w:r>
          </w:p>
        </w:tc>
        <w:tc>
          <w:tcPr>
            <w:tcW w:w="2129" w:type="dxa"/>
            <w:vAlign w:val="top"/>
          </w:tcPr>
          <w:p>
            <w:pPr>
              <w:spacing w:before="105" w:line="237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外观检查</w:t>
            </w:r>
          </w:p>
          <w:p>
            <w:pPr>
              <w:spacing w:line="214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操作实验</w:t>
            </w:r>
          </w:p>
        </w:tc>
        <w:tc>
          <w:tcPr>
            <w:tcW w:w="3028" w:type="dxa"/>
            <w:vAlign w:val="top"/>
          </w:tcPr>
          <w:p>
            <w:pPr>
              <w:spacing w:before="215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及时检修、维护。</w:t>
            </w: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05" w:type="dxa"/>
            <w:vAlign w:val="top"/>
          </w:tcPr>
          <w:p>
            <w:pPr>
              <w:spacing w:before="271" w:line="182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179" w:type="dxa"/>
            <w:vAlign w:val="top"/>
          </w:tcPr>
          <w:p>
            <w:pPr>
              <w:spacing w:before="96" w:line="219" w:lineRule="auto"/>
              <w:ind w:left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行车制动和</w:t>
            </w:r>
          </w:p>
          <w:p>
            <w:pPr>
              <w:spacing w:before="30" w:line="213" w:lineRule="auto"/>
              <w:ind w:lef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驻车制动</w:t>
            </w:r>
          </w:p>
        </w:tc>
        <w:tc>
          <w:tcPr>
            <w:tcW w:w="5306" w:type="dxa"/>
            <w:vAlign w:val="top"/>
          </w:tcPr>
          <w:p>
            <w:pPr>
              <w:spacing w:before="216" w:line="21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行车制动和驻车制动功能都必须完好有效。</w:t>
            </w:r>
          </w:p>
        </w:tc>
        <w:tc>
          <w:tcPr>
            <w:tcW w:w="679" w:type="dxa"/>
            <w:vAlign w:val="top"/>
          </w:tcPr>
          <w:p>
            <w:pPr>
              <w:spacing w:before="217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严重</w:t>
            </w:r>
          </w:p>
        </w:tc>
        <w:tc>
          <w:tcPr>
            <w:tcW w:w="1299" w:type="dxa"/>
            <w:vAlign w:val="top"/>
          </w:tcPr>
          <w:p>
            <w:pPr>
              <w:spacing w:before="216" w:line="219" w:lineRule="auto"/>
              <w:ind w:left="4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每月</w:t>
            </w:r>
          </w:p>
        </w:tc>
        <w:tc>
          <w:tcPr>
            <w:tcW w:w="2129" w:type="dxa"/>
            <w:vAlign w:val="top"/>
          </w:tcPr>
          <w:p>
            <w:pPr>
              <w:spacing w:before="106" w:line="280" w:lineRule="exact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4"/>
                <w:sz w:val="21"/>
                <w:szCs w:val="21"/>
              </w:rPr>
              <w:t>外观检查</w:t>
            </w:r>
          </w:p>
          <w:p>
            <w:pPr>
              <w:spacing w:line="204" w:lineRule="auto"/>
              <w:ind w:left="6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操作实验</w:t>
            </w:r>
          </w:p>
        </w:tc>
        <w:tc>
          <w:tcPr>
            <w:tcW w:w="3028" w:type="dxa"/>
            <w:vAlign w:val="top"/>
          </w:tcPr>
          <w:p>
            <w:pPr>
              <w:spacing w:before="106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1.立即停止使用；</w:t>
            </w:r>
          </w:p>
          <w:p>
            <w:pPr>
              <w:spacing w:before="29" w:line="205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2.及时检修、维护。</w:t>
            </w:r>
          </w:p>
        </w:tc>
        <w:tc>
          <w:tcPr>
            <w:tcW w:w="6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05" w:type="dxa"/>
            <w:vAlign w:val="top"/>
          </w:tcPr>
          <w:p>
            <w:pPr>
              <w:spacing w:before="261" w:line="183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179" w:type="dxa"/>
            <w:vAlign w:val="top"/>
          </w:tcPr>
          <w:p>
            <w:pPr>
              <w:spacing w:before="228" w:line="331" w:lineRule="exact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>…</w:t>
            </w:r>
          </w:p>
        </w:tc>
        <w:tc>
          <w:tcPr>
            <w:tcW w:w="5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spacing w:before="228" w:line="331" w:lineRule="exact"/>
              <w:ind w:left="2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>…</w:t>
            </w:r>
          </w:p>
        </w:tc>
        <w:tc>
          <w:tcPr>
            <w:tcW w:w="1299" w:type="dxa"/>
            <w:vAlign w:val="top"/>
          </w:tcPr>
          <w:p>
            <w:pPr>
              <w:spacing w:before="228" w:line="331" w:lineRule="exact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>…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9B36B"/>
    <w:multiLevelType w:val="multilevel"/>
    <w:tmpl w:val="06F9B36B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TU0N2YyZjU2OTgzYTgwMjQ0YjczOGJhYzIyMjIifQ=="/>
  </w:docVars>
  <w:rsids>
    <w:rsidRoot w:val="7A6F7675"/>
    <w:rsid w:val="093277A9"/>
    <w:rsid w:val="0C00517C"/>
    <w:rsid w:val="0DEA1EA6"/>
    <w:rsid w:val="1BD80837"/>
    <w:rsid w:val="1C7F2A05"/>
    <w:rsid w:val="1D222E46"/>
    <w:rsid w:val="269B0465"/>
    <w:rsid w:val="2DD907B5"/>
    <w:rsid w:val="332858D5"/>
    <w:rsid w:val="341C3FDE"/>
    <w:rsid w:val="37014E1F"/>
    <w:rsid w:val="39410733"/>
    <w:rsid w:val="3DA76CDD"/>
    <w:rsid w:val="4020549C"/>
    <w:rsid w:val="41302AFE"/>
    <w:rsid w:val="465E50BE"/>
    <w:rsid w:val="49521D81"/>
    <w:rsid w:val="4B115470"/>
    <w:rsid w:val="4C265B4C"/>
    <w:rsid w:val="4F270F69"/>
    <w:rsid w:val="585208C9"/>
    <w:rsid w:val="5D9F2447"/>
    <w:rsid w:val="5E096584"/>
    <w:rsid w:val="6040308A"/>
    <w:rsid w:val="613E78A3"/>
    <w:rsid w:val="61BF3015"/>
    <w:rsid w:val="62B965EC"/>
    <w:rsid w:val="64463C6F"/>
    <w:rsid w:val="683141CC"/>
    <w:rsid w:val="68456707"/>
    <w:rsid w:val="6A5A6A40"/>
    <w:rsid w:val="6AEB5704"/>
    <w:rsid w:val="6DCE27EC"/>
    <w:rsid w:val="6E486122"/>
    <w:rsid w:val="70390390"/>
    <w:rsid w:val="7A6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32" w:hanging="432" w:firstLineChars="0"/>
      <w:outlineLvl w:val="0"/>
    </w:pPr>
    <w:rPr>
      <w:rFonts w:ascii="宋体" w:hAnsi="宋体" w:cs="宋体"/>
      <w:b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宋体" w:hAnsi="宋体" w:cs="宋体"/>
      <w:b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宋体" w:hAnsi="宋体" w:cs="宋体"/>
      <w:b/>
      <w:sz w:val="30"/>
      <w:szCs w:val="2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 w:firstLineChars="0"/>
      <w:outlineLvl w:val="3"/>
    </w:pPr>
    <w:rPr>
      <w:rFonts w:ascii="宋体" w:hAnsi="宋体" w:cs="宋体"/>
      <w:b/>
      <w:sz w:val="28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napToGrid w:val="0"/>
      <w:spacing w:beforeLines="0" w:beforeAutospacing="0" w:afterLines="0" w:afterAutospacing="0" w:line="360" w:lineRule="auto"/>
      <w:ind w:left="1008" w:hanging="1008" w:firstLineChars="0"/>
      <w:outlineLvl w:val="4"/>
    </w:pPr>
    <w:rPr>
      <w:rFonts w:ascii="宋体" w:hAnsi="宋体" w:cs="宋体"/>
      <w:b/>
      <w:sz w:val="28"/>
      <w:szCs w:val="20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 w:firstLineChars="0"/>
      <w:outlineLvl w:val="5"/>
    </w:pPr>
    <w:rPr>
      <w:rFonts w:ascii="Arial" w:hAnsi="Arial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宋体"/>
      <w:b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  <w:rPr>
      <w:rFonts w:ascii="Calibri" w:hAnsi="Calibri" w:eastAsia="宋体"/>
      <w:sz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2023-03-02T08:31:00Z</dcterms:created>
  <dc:creator>孙瑞</dc:creator>
  <cp:lastModifiedBy>孙瑞</cp:lastModifiedBy>
  <dcterms:modified xsi:type="dcterms:W3CDTF">2023-03-02T08:32:22Z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9B1D98D490B94549951FCA25A425A101</vt:lpwstr>
  </property>
</Properties>
</file>