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黑体"/>
          <w:sz w:val="28"/>
        </w:rPr>
      </w:pPr>
      <w:r>
        <w:rPr>
          <w:rFonts w:eastAsia="黑体"/>
          <w:sz w:val="28"/>
        </w:rPr>
        <w:t>岗位安全操作清单</w:t>
      </w:r>
    </w:p>
    <w:p>
      <w:pPr>
        <w:spacing w:line="200" w:lineRule="exact"/>
        <w:jc w:val="left"/>
        <w:rPr>
          <w:rFonts w:eastAsia="仿宋"/>
        </w:rPr>
      </w:pPr>
    </w:p>
    <w:p>
      <w:pPr>
        <w:spacing w:line="32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1-4-1  机械混药安全操作清单</w:t>
      </w:r>
    </w:p>
    <w:tbl>
      <w:tblPr>
        <w:tblStyle w:val="3"/>
        <w:tblW w:w="140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318"/>
        <w:gridCol w:w="152"/>
        <w:gridCol w:w="8841"/>
        <w:gridCol w:w="585"/>
        <w:gridCol w:w="1053"/>
        <w:gridCol w:w="335"/>
        <w:gridCol w:w="1026"/>
      </w:tblGrid>
      <w:tr>
        <w:trPr>
          <w:trHeight w:val="427" w:hRule="atLeast"/>
        </w:trPr>
        <w:tc>
          <w:tcPr>
            <w:tcW w:w="11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定员：人  定量：     kg  </w:t>
            </w:r>
          </w:p>
        </w:tc>
        <w:tc>
          <w:tcPr>
            <w:tcW w:w="29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  <w:trHeight w:val="41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步骤</w:t>
            </w:r>
          </w:p>
        </w:tc>
        <w:tc>
          <w:tcPr>
            <w:tcW w:w="8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确认情况（是/否）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1643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操作前检查</w:t>
            </w:r>
          </w:p>
        </w:tc>
        <w:tc>
          <w:tcPr>
            <w:tcW w:w="8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1.检查筛网完好，机器内无杂质、无粉尘；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2.混药容器内部干燥、无杂质；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3.警戒门杆升降正常，视频监控图像清晰。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4.工房内外疏散通道无杂物阻挡；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5.确认无超过工房定员作业行为；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129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操作前准备</w:t>
            </w:r>
          </w:p>
        </w:tc>
        <w:tc>
          <w:tcPr>
            <w:tcW w:w="8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1.穿戴好工作服、防尘口罩；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2.准备不易产生静电材质的盛装容器；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3.让机器空转至少3分钟，确认机器运转正常；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4.确认药剂种类、数量符合工艺安全和核定药量的要求；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189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混药作业</w:t>
            </w:r>
          </w:p>
        </w:tc>
        <w:tc>
          <w:tcPr>
            <w:tcW w:w="8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1.人员未离开机房，不应开机；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2.混药机工作时，严禁任何人进入警戒门杆内；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3.倒料、取料时必须待警戒门杆升起、警灯熄灭后方可进入。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4.更换药物品种时，应用气吹枪清理筛网、振动斗、混药容器和倒料口；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5.混合后的药物标明品名、规格、数量、日期等信息，及时送入下道工序或药物中转库；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6.领取的原材料当天用完，特殊情况送入药物仓库保存；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81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作业结束</w:t>
            </w:r>
          </w:p>
        </w:tc>
        <w:tc>
          <w:tcPr>
            <w:tcW w:w="8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1.按要求清洗机器。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2.清理筛网、振动斗、混药容器和倒料口；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3.工房地面用水冲洗干净，不留余药；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4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7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  <w:tr>
        <w:trPr>
          <w:trHeight w:val="578" w:hRule="atLeast"/>
        </w:trPr>
        <w:tc>
          <w:tcPr>
            <w:tcW w:w="1404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  <w:r>
              <w:rPr>
                <w:rFonts w:eastAsia="黑体"/>
                <w:szCs w:val="32"/>
              </w:rPr>
              <w:t>1-4-2  手工筑（压）药操作清单</w:t>
            </w:r>
          </w:p>
        </w:tc>
      </w:tr>
      <w:tr>
        <w:trPr>
          <w:trHeight w:val="408" w:hRule="atLeast"/>
        </w:trPr>
        <w:tc>
          <w:tcPr>
            <w:tcW w:w="11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 定员： 人    定量：  kg </w:t>
            </w:r>
          </w:p>
        </w:tc>
        <w:tc>
          <w:tcPr>
            <w:tcW w:w="29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年 月 日</w:t>
            </w:r>
          </w:p>
        </w:tc>
      </w:tr>
      <w:tr>
        <w:trPr>
          <w:cantSplit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步骤</w:t>
            </w:r>
          </w:p>
        </w:tc>
        <w:tc>
          <w:tcPr>
            <w:tcW w:w="8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  <w:r>
              <w:rPr>
                <w:rFonts w:eastAsia="黑体"/>
                <w:sz w:val="24"/>
              </w:rPr>
              <w:br w:type="textWrapping"/>
            </w: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633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操作前检查</w:t>
            </w:r>
          </w:p>
        </w:tc>
        <w:tc>
          <w:tcPr>
            <w:tcW w:w="8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1.工器具材质符合要求，底模与压药杆对位准确。无余药、溶剂、水渍残留；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2.工作台整洁干净，隔垫无破损；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操作前准备</w:t>
            </w:r>
          </w:p>
        </w:tc>
        <w:tc>
          <w:tcPr>
            <w:tcW w:w="8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1.确认药量、类型符合安全要求；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2.含有粒度大于40目的铝、钛、铁粉的烟火药，不应筑压；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3.穿戴好工作服、防尘口罩；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1161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手工筑（压）药作业</w:t>
            </w:r>
          </w:p>
        </w:tc>
        <w:tc>
          <w:tcPr>
            <w:tcW w:w="8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1.少量、多次加入药物；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2.筑（压）药所用压力应保持均衡一致，逐层压紧；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3.湿法筑药当模具与药物难以分离时，不应强行分离，应使用相应溶剂浸泡、清洗脱模；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4.筑（压）好的药物摊开放置在药盘上，做好品名、规格、筑压时间等标识，及时送入晒场或烘房；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312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作业结束</w:t>
            </w:r>
          </w:p>
        </w:tc>
        <w:tc>
          <w:tcPr>
            <w:tcW w:w="8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1.清洗筑（压）药模具，并用纯绵布擦干；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2.清扫工作台面和地面；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9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</w:p>
        </w:tc>
      </w:tr>
      <w:tr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8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9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8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9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4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7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  <w:tr>
        <w:trPr>
          <w:trHeight w:val="578" w:hRule="atLeast"/>
        </w:trPr>
        <w:tc>
          <w:tcPr>
            <w:tcW w:w="1404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"/>
              </w:rPr>
            </w:pPr>
            <w:r>
              <w:rPr>
                <w:rFonts w:eastAsia="黑体"/>
                <w:szCs w:val="32"/>
              </w:rPr>
              <w:t>1-4-3  机械筑（压）药操作清单</w:t>
            </w:r>
          </w:p>
        </w:tc>
      </w:tr>
      <w:tr>
        <w:trPr>
          <w:trHeight w:val="408" w:hRule="atLeast"/>
        </w:trPr>
        <w:tc>
          <w:tcPr>
            <w:tcW w:w="11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定员：人  定量：     kg  </w:t>
            </w:r>
          </w:p>
        </w:tc>
        <w:tc>
          <w:tcPr>
            <w:tcW w:w="29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步骤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</w:p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操作前检查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1.筑（压）药设备运转正常；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2.底模与压药杆对位准确；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3.开机空转，无异响；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13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操作前准备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1.药剂用量符合核定药量要求；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2.药剂类型、粒度符合安全要求；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3.穿戴好工作服、防尘口罩；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机械筑（压）药作业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1.上药均匀，及时清除模具孔外散落药物；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2.筑（压）药机启动和作业过程，作业人员应隔离操作；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3.湿法筑药当模具与药物难以分离时，不应强行分离，应使用相应溶剂浸泡、清洗脱模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4.压好的药物做好品名、规格、筑压时间等标识，及时送入晒场或烘房；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80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作业结束</w:t>
            </w:r>
          </w:p>
        </w:tc>
        <w:tc>
          <w:tcPr>
            <w:tcW w:w="8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1.用相应溶剂清洗模具，用布擦干；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2.清扫机器及工作台面和地面残余药物；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4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7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  <w:tr>
        <w:trPr>
          <w:trHeight w:val="578" w:hRule="atLeast"/>
        </w:trPr>
        <w:tc>
          <w:tcPr>
            <w:tcW w:w="14044" w:type="dxa"/>
            <w:gridSpan w:val="8"/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黑体"/>
                <w:szCs w:val="32"/>
              </w:rPr>
              <w:t>1-4-4  机械造粒操作清单</w:t>
            </w:r>
          </w:p>
        </w:tc>
      </w:tr>
      <w:tr>
        <w:trPr>
          <w:trHeight w:val="408" w:hRule="atLeast"/>
        </w:trPr>
        <w:tc>
          <w:tcPr>
            <w:tcW w:w="11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定员：人    定量：     kg </w:t>
            </w:r>
          </w:p>
        </w:tc>
        <w:tc>
          <w:tcPr>
            <w:tcW w:w="29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步骤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  <w:r>
              <w:rPr>
                <w:rFonts w:eastAsia="黑体"/>
                <w:sz w:val="24"/>
              </w:rPr>
              <w:br w:type="textWrapping"/>
            </w: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操作前检查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1.烟火药与溶剂等材料符合工艺安全要求；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2.机器运转正常，造粒罐内无杂质；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3.工用具、盛装器具符合要求；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操作前准备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1.用相应溶剂湿润造粒罐内壁；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2.确认药量符合核定药量；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3.穿戴好工作服、防尘口罩；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4.确认工房内无其他无关人员；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机械造粒作业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1.严格控制亮珠干湿度，及时处理造粒罐内壁粘附的药尘；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2.做好品名、规格标识，及时送入筛选工房或晾房暂存中转；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3.发现机器运转异常，立即断电停机，清除罐内和工房内药物，方能维修；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4.如有药物和亮珠发热现象，立即断电停机，并将其摊开散热；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作业结束</w:t>
            </w:r>
          </w:p>
        </w:tc>
        <w:tc>
          <w:tcPr>
            <w:tcW w:w="8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1.清洗造粒罐内壁、工作台和地面散落药物；</w:t>
            </w:r>
          </w:p>
          <w:p>
            <w:pPr>
              <w:spacing w:line="27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4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7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  <w:tr>
        <w:trPr>
          <w:trHeight w:val="578" w:hRule="atLeast"/>
        </w:trPr>
        <w:tc>
          <w:tcPr>
            <w:tcW w:w="1404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1-4-5  亮珠筛选操作清单</w:t>
            </w:r>
          </w:p>
        </w:tc>
      </w:tr>
      <w:tr>
        <w:trPr>
          <w:trHeight w:val="408" w:hRule="atLeast"/>
        </w:trPr>
        <w:tc>
          <w:tcPr>
            <w:tcW w:w="11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定员：人  定量：     kg  </w:t>
            </w:r>
          </w:p>
        </w:tc>
        <w:tc>
          <w:tcPr>
            <w:tcW w:w="29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步骤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  <w:r>
              <w:rPr>
                <w:rFonts w:eastAsia="黑体"/>
                <w:sz w:val="24"/>
              </w:rPr>
              <w:br w:type="textWrapping"/>
            </w: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操作前检查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1.筛网为铜或铝质，盛装器具为防静电塑料或竹、木制；</w:t>
            </w:r>
          </w:p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2.工作台整洁干净，隔垫无破损；</w:t>
            </w:r>
          </w:p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操作前准备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1.亮珠药量符合核定要求（干亮珠5kg，湿亮珠20kg）；</w:t>
            </w:r>
          </w:p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2.穿戴好工作服、防尘口罩；</w:t>
            </w:r>
          </w:p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亮珠筛选作业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1.亮珠过筛作业应选择在亮珠末干燥之前；</w:t>
            </w:r>
          </w:p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2.筛子高度不宜高于下方盛装药盘20cm处；</w:t>
            </w:r>
          </w:p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3.筛好的亮珠摊开放置在药盘上（厚度不超过1.5厘米、直径大于0.75厘米时，其摊开厚度不超过效果件直径的2倍）并标识品名、规格等信息；</w:t>
            </w:r>
          </w:p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作业结束</w:t>
            </w:r>
          </w:p>
        </w:tc>
        <w:tc>
          <w:tcPr>
            <w:tcW w:w="8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1.湿法清扫工作台面余药；</w:t>
            </w:r>
          </w:p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2.冲洗工房地面、分类放置各类工器具。</w:t>
            </w:r>
          </w:p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4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  <w:tr>
        <w:trPr>
          <w:trHeight w:val="578" w:hRule="atLeast"/>
        </w:trPr>
        <w:tc>
          <w:tcPr>
            <w:tcW w:w="1404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1-4-6  亮珠烘干操作清单</w:t>
            </w:r>
          </w:p>
        </w:tc>
      </w:tr>
      <w:tr>
        <w:trPr>
          <w:trHeight w:val="408" w:hRule="atLeast"/>
        </w:trPr>
        <w:tc>
          <w:tcPr>
            <w:tcW w:w="110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定员：人  定量：     kg  </w:t>
            </w:r>
          </w:p>
        </w:tc>
        <w:tc>
          <w:tcPr>
            <w:tcW w:w="29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步骤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  <w:r>
              <w:rPr>
                <w:rFonts w:eastAsia="黑体"/>
                <w:sz w:val="24"/>
              </w:rPr>
              <w:br w:type="textWrapping"/>
            </w: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12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操作前检查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1.烘架符合标准要求；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2.烘房内无药尘残留；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3.设备加热装置、排湿装置、感应报警装置、电源开关等运行正常；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4.盛装器具材质符合安全要求（竹盘或木盘）；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898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操作前准备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1.亮珠药量符合烘房定量要求；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2.穿戴好工作服、防尘口罩；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07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亮珠烘干作业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1.药盘分层放置在烘架上；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2.烘房内确保无人后方能关闭烘房门；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3.温度必须控制在设定的范围内，均匀供热，每小时升温速度不超过30℃；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4.严禁在烘房内翻动、收取药物装箱作业；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5.发现异常立即断电，待药物冷却后移出药盘，方可检修。严禁设备带病运转，严禁带药检修；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6.药物烘干后，药物温度降到常温时，才能收取药物；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作业结束</w:t>
            </w:r>
          </w:p>
        </w:tc>
        <w:tc>
          <w:tcPr>
            <w:tcW w:w="8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1.烘房及设备温度降到常温后，采用湿拖布清扫烘房地面药尘和地面散落药物；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4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  <w:tr>
        <w:trPr>
          <w:trHeight w:val="578" w:hRule="atLeast"/>
        </w:trPr>
        <w:tc>
          <w:tcPr>
            <w:tcW w:w="1404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1-4-7  效果件装药封口操作清单</w:t>
            </w:r>
          </w:p>
        </w:tc>
      </w:tr>
      <w:tr>
        <w:trPr>
          <w:trHeight w:val="426" w:hRule="atLeast"/>
        </w:trPr>
        <w:tc>
          <w:tcPr>
            <w:tcW w:w="116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定员：人  定量：     kg  </w:t>
            </w:r>
          </w:p>
        </w:tc>
        <w:tc>
          <w:tcPr>
            <w:tcW w:w="24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  <w:trHeight w:val="65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步骤</w:t>
            </w:r>
          </w:p>
        </w:tc>
        <w:tc>
          <w:tcPr>
            <w:tcW w:w="9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  <w:r>
              <w:rPr>
                <w:rFonts w:eastAsia="黑体"/>
                <w:sz w:val="24"/>
              </w:rPr>
              <w:br w:type="textWrapping"/>
            </w: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72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操作前检查</w:t>
            </w:r>
          </w:p>
        </w:tc>
        <w:tc>
          <w:tcPr>
            <w:tcW w:w="9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1.工作台、工房地面干净无杂物；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2.工具符合工艺安全要求；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操作前准备</w:t>
            </w:r>
          </w:p>
        </w:tc>
        <w:tc>
          <w:tcPr>
            <w:tcW w:w="9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1.效果件药量符合工房定量；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2.穿戴好工作服、防尘口罩；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效果件装药封口作业</w:t>
            </w:r>
          </w:p>
        </w:tc>
        <w:tc>
          <w:tcPr>
            <w:tcW w:w="9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1.筒体变形、破损和过火泥、传火引不符合质量要求不得装填；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2.按工艺安全要求操作，先装亮珠再装开口炸药，最后封口；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3.作业过程不准拖拉、碰撞，严禁猛力敲打；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4.效果件工艺完成后做好效果件品种名称和生产日期标记；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5.轻拿、轻放、轻搬动，按规定量及时送入保养房；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6、……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作业结束</w:t>
            </w:r>
          </w:p>
        </w:tc>
        <w:tc>
          <w:tcPr>
            <w:tcW w:w="9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1.湿法清扫工作台面余药；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2.冲洗工房地面，分类放置各类工器具；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942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942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4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</w:tbl>
    <w:p>
      <w:r>
        <w:br w:type="page"/>
      </w:r>
    </w:p>
    <w:tbl>
      <w:tblPr>
        <w:tblStyle w:val="3"/>
        <w:tblW w:w="140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470"/>
        <w:gridCol w:w="8841"/>
        <w:gridCol w:w="585"/>
        <w:gridCol w:w="1053"/>
        <w:gridCol w:w="1361"/>
      </w:tblGrid>
      <w:tr>
        <w:trPr>
          <w:trHeight w:val="578" w:hRule="atLeast"/>
        </w:trPr>
        <w:tc>
          <w:tcPr>
            <w:tcW w:w="1404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32"/>
              </w:rPr>
            </w:pPr>
            <w:r>
              <w:br w:type="page"/>
            </w:r>
            <w:r>
              <w:rPr>
                <w:rFonts w:eastAsia="黑体"/>
                <w:szCs w:val="32"/>
              </w:rPr>
              <w:t>1-4-8  装发射药操作清单</w:t>
            </w:r>
            <w:r>
              <w:br w:type="page"/>
            </w:r>
            <w:r>
              <w:rPr>
                <w:rFonts w:eastAsia="黑体"/>
                <w:szCs w:val="32"/>
              </w:rPr>
              <w:t xml:space="preserve"> </w:t>
            </w:r>
          </w:p>
        </w:tc>
      </w:tr>
      <w:tr>
        <w:trPr>
          <w:trHeight w:val="408" w:hRule="atLeast"/>
        </w:trPr>
        <w:tc>
          <w:tcPr>
            <w:tcW w:w="116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定员：人  定量：     kg  </w:t>
            </w:r>
          </w:p>
        </w:tc>
        <w:tc>
          <w:tcPr>
            <w:tcW w:w="24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步骤</w:t>
            </w:r>
          </w:p>
        </w:tc>
        <w:tc>
          <w:tcPr>
            <w:tcW w:w="9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  <w:r>
              <w:rPr>
                <w:rFonts w:eastAsia="黑体"/>
                <w:sz w:val="24"/>
              </w:rPr>
              <w:br w:type="textWrapping"/>
            </w: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操作前检查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1.工作台、工房地面干净无杂物；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2.装药模具、工具符合要求；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3.外筒无变形，组盆筒体粘接要牢固，泥底完好，传火引安装到位；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操作前准备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1.药量符合工房定量；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2.穿戴好工作服、防尘口罩；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装发射药作业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1.装药过程中出现模具卡药时，应在专用工房处理，不得在现场强行抽拉模具。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2.严格控制装药量，装填好发射药的半成品应立即交往下一工序或中转库。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作业结束</w:t>
            </w:r>
          </w:p>
        </w:tc>
        <w:tc>
          <w:tcPr>
            <w:tcW w:w="8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1.将未用完的发射药交入中转库存放；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2.打扫工作台面、地面清洁卫生。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4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</w:tbl>
    <w:p>
      <w:pPr>
        <w:spacing w:line="200" w:lineRule="exact"/>
        <w:jc w:val="center"/>
        <w:rPr>
          <w:rFonts w:eastAsia="仿宋"/>
        </w:rPr>
      </w:pPr>
      <w:r>
        <w:rPr>
          <w:rFonts w:eastAsia="仿宋"/>
        </w:rPr>
        <w:br w:type="page"/>
      </w:r>
    </w:p>
    <w:tbl>
      <w:tblPr>
        <w:tblStyle w:val="3"/>
        <w:tblW w:w="140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470"/>
        <w:gridCol w:w="8841"/>
        <w:gridCol w:w="1638"/>
        <w:gridCol w:w="1361"/>
      </w:tblGrid>
      <w:tr>
        <w:trPr>
          <w:trHeight w:val="578" w:hRule="atLeast"/>
        </w:trPr>
        <w:tc>
          <w:tcPr>
            <w:tcW w:w="1404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黑体"/>
                <w:szCs w:val="32"/>
              </w:rPr>
              <w:t>1-4-9  组装操作清单</w:t>
            </w:r>
          </w:p>
        </w:tc>
      </w:tr>
      <w:tr>
        <w:trPr>
          <w:trHeight w:val="408" w:hRule="atLeast"/>
        </w:trPr>
        <w:tc>
          <w:tcPr>
            <w:tcW w:w="110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定员：人  定量：     kg  </w:t>
            </w:r>
          </w:p>
        </w:tc>
        <w:tc>
          <w:tcPr>
            <w:tcW w:w="29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步骤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  <w:r>
              <w:rPr>
                <w:rFonts w:eastAsia="黑体"/>
                <w:sz w:val="24"/>
              </w:rPr>
              <w:br w:type="textWrapping"/>
            </w: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操作前检查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1.工作台、工房地面干净无杂物；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2.筑棍符合安全要求（竹或木制品）；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3.外筒无变形，组盆筒体粘接牢固，泥底完好，传火引安装到位；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操作前准备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1.效果件药量符合工房定量；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2.穿戴好工作服、防尘口罩；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1208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组装作业</w:t>
            </w:r>
          </w:p>
        </w:tc>
        <w:tc>
          <w:tcPr>
            <w:tcW w:w="8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1.装填平整，纸园大小与外筒匹配；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2.效果件有破损、漏药等情况禁止装填；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3.按产品工艺设计要求，分类装填效果件；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作业结束</w:t>
            </w:r>
          </w:p>
        </w:tc>
        <w:tc>
          <w:tcPr>
            <w:tcW w:w="8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1.未装完的效果件送入中转库；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2.打扫工作台面地面清洁卫生；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51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88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4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</w:tbl>
    <w:p>
      <w:pPr>
        <w:spacing w:line="200" w:lineRule="exact"/>
        <w:jc w:val="center"/>
        <w:rPr>
          <w:rFonts w:eastAsia="仿宋"/>
        </w:rPr>
      </w:pPr>
      <w:r>
        <w:rPr>
          <w:rFonts w:eastAsia="仿宋"/>
        </w:rPr>
        <w:br w:type="page"/>
      </w:r>
    </w:p>
    <w:tbl>
      <w:tblPr>
        <w:tblStyle w:val="3"/>
        <w:tblW w:w="140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0"/>
        <w:gridCol w:w="1638"/>
        <w:gridCol w:w="1361"/>
      </w:tblGrid>
      <w:tr>
        <w:trPr>
          <w:trHeight w:val="578" w:hRule="atLeast"/>
        </w:trPr>
        <w:tc>
          <w:tcPr>
            <w:tcW w:w="140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黑体"/>
                <w:szCs w:val="32"/>
              </w:rPr>
              <w:t>1-4-10  药物中转库操作清单</w:t>
            </w:r>
          </w:p>
        </w:tc>
      </w:tr>
      <w:tr>
        <w:trPr>
          <w:trHeight w:val="408" w:hRule="atLeast"/>
        </w:trPr>
        <w:tc>
          <w:tcPr>
            <w:tcW w:w="11030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 人   定量：     kg  </w:t>
            </w:r>
          </w:p>
        </w:tc>
        <w:tc>
          <w:tcPr>
            <w:tcW w:w="29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</w:trPr>
        <w:tc>
          <w:tcPr>
            <w:tcW w:w="1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  <w:r>
              <w:rPr>
                <w:rFonts w:eastAsia="黑体"/>
                <w:sz w:val="24"/>
              </w:rPr>
              <w:br w:type="textWrapping"/>
            </w: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2797" w:hRule="atLeast"/>
        </w:trPr>
        <w:tc>
          <w:tcPr>
            <w:tcW w:w="1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1.中转库内药物无受潮、异味，室内导静电胶皮有无破损等现象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2.药物分类堆码整齐，标识品名、规格、数量、入库时间等信息，不得超量存放。堆码高度≤1米，距墙壁≥0.45米。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3.干药在中转库的停滞时间不超过24小时，湿药应即混即用，防止发热。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4.每天对室内温、湿度进行检测记录；温度控制在0℃～34℃，相对湿度控制在50%～85%。气温超过34℃或遇暴雨、雷电时，禁止出入库作业。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5.中转库房通风、散热良好，防止小动物进入。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6.做好药物收发记录，并确保帐物相符。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7.发现异常时，立即报告安全技术负责人。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8.下班时，应使用湿拖布清扫中转库地面散落余药，禁止使用硬质扫帚清扫。</w:t>
            </w:r>
          </w:p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</w:tbl>
    <w:p>
      <w:pPr>
        <w:spacing w:line="200" w:lineRule="exact"/>
        <w:jc w:val="center"/>
        <w:rPr>
          <w:rFonts w:eastAsia="仿宋"/>
        </w:rPr>
      </w:pPr>
      <w:r>
        <w:rPr>
          <w:rFonts w:eastAsia="仿宋"/>
        </w:rPr>
        <w:br w:type="page"/>
      </w:r>
    </w:p>
    <w:tbl>
      <w:tblPr>
        <w:tblStyle w:val="3"/>
        <w:tblW w:w="140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0"/>
        <w:gridCol w:w="15"/>
        <w:gridCol w:w="1623"/>
        <w:gridCol w:w="1361"/>
      </w:tblGrid>
      <w:tr>
        <w:trPr>
          <w:trHeight w:val="578" w:hRule="atLeast"/>
        </w:trPr>
        <w:tc>
          <w:tcPr>
            <w:tcW w:w="140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黑体"/>
                <w:szCs w:val="32"/>
              </w:rPr>
              <w:t>1-4-11  成品库管理操作清单</w:t>
            </w:r>
          </w:p>
        </w:tc>
      </w:tr>
      <w:tr>
        <w:trPr>
          <w:trHeight w:val="408" w:hRule="atLeast"/>
        </w:trPr>
        <w:tc>
          <w:tcPr>
            <w:tcW w:w="11030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工房编号：  定员：人  定量：     kg  </w:t>
            </w:r>
          </w:p>
        </w:tc>
        <w:tc>
          <w:tcPr>
            <w:tcW w:w="29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填写时间：  年  月  日</w:t>
            </w:r>
          </w:p>
        </w:tc>
      </w:tr>
      <w:tr>
        <w:trPr>
          <w:cantSplit/>
        </w:trPr>
        <w:tc>
          <w:tcPr>
            <w:tcW w:w="1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操作清单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确认情况</w:t>
            </w:r>
            <w:r>
              <w:rPr>
                <w:rFonts w:eastAsia="黑体"/>
                <w:sz w:val="24"/>
              </w:rPr>
              <w:br w:type="textWrapping"/>
            </w:r>
            <w:r>
              <w:rPr>
                <w:rFonts w:eastAsia="黑体"/>
                <w:sz w:val="24"/>
              </w:rPr>
              <w:t>（是/否）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rPr>
          <w:trHeight w:val="3109" w:hRule="atLeast"/>
        </w:trPr>
        <w:tc>
          <w:tcPr>
            <w:tcW w:w="1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1.作业人员入库前穿戴好符合要求的工作服，消除身体静电。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2.进入成品库区的机动车辆，排气管安装阻火器，装卸前熄火平稳停靠在仓库门前2.5米外。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3.严禁超过库房核定储存药量。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4.分类存放，通道畅通，摆放整齐、平码堆放；堆垛与库墙距离≥0.45米，堆垛与堆垛距离≥0.7米，主通道宽度≥1.5米。堆垛的边长应≤10米，堆码高度2.5米。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5.入库产品内外包装、合格证等标识符合标准要求。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6.按要求建立流向登记台帐和产品堆垛标识卡，且账、卡、物相符。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7.每天对室内温、湿度进行检测记录；温度控制在-20℃～45℃，相对湿度控制在50%～85%。气温超过34℃或遇暴雨、雷电时，禁止出入库作业；温、湿度超过上下限时要采取安全防护措施。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8.保管人员应熟悉所储存物品的安全性能和消防器材的使用方法。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9.定期维护库区消防等设施，做好库房通风、防潮、防小动物安全措施。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  <w:tr>
        <w:trPr>
          <w:trHeight w:val="224" w:hRule="atLeast"/>
        </w:trPr>
        <w:tc>
          <w:tcPr>
            <w:tcW w:w="1402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</w:tbl>
    <w:p>
      <w:pPr>
        <w:spacing w:line="200" w:lineRule="exact"/>
        <w:jc w:val="center"/>
        <w:rPr>
          <w:rFonts w:eastAsia="仿宋"/>
        </w:rPr>
      </w:pPr>
      <w:r>
        <w:rPr>
          <w:rFonts w:eastAsia="仿宋"/>
        </w:rPr>
        <w:br w:type="page"/>
      </w:r>
    </w:p>
    <w:tbl>
      <w:tblPr>
        <w:tblStyle w:val="3"/>
        <w:tblW w:w="14388" w:type="dxa"/>
        <w:tblInd w:w="-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"/>
        <w:gridCol w:w="719"/>
        <w:gridCol w:w="1772"/>
        <w:gridCol w:w="728"/>
        <w:gridCol w:w="2690"/>
        <w:gridCol w:w="2310"/>
        <w:gridCol w:w="2086"/>
        <w:gridCol w:w="740"/>
        <w:gridCol w:w="1623"/>
        <w:gridCol w:w="1361"/>
      </w:tblGrid>
      <w:tr>
        <w:trPr>
          <w:gridBefore w:val="1"/>
          <w:wBefore w:w="359" w:type="dxa"/>
          <w:trHeight w:val="578" w:hRule="atLeast"/>
        </w:trPr>
        <w:tc>
          <w:tcPr>
            <w:tcW w:w="1402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</w:rPr>
            </w:pPr>
            <w:r>
              <w:rPr>
                <w:rFonts w:eastAsia="黑体"/>
                <w:szCs w:val="32"/>
              </w:rPr>
              <w:t>1-4-12  装卸、搬运操作清单</w:t>
            </w:r>
          </w:p>
        </w:tc>
      </w:tr>
      <w:tr>
        <w:trPr>
          <w:gridBefore w:val="1"/>
          <w:wBefore w:w="359" w:type="dxa"/>
          <w:trHeight w:val="408" w:hRule="atLeast"/>
        </w:trPr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作业区域：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车牌号：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装卸吨位：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操作责任人：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填写时间：  年  月  日</w:t>
            </w:r>
          </w:p>
        </w:tc>
      </w:tr>
      <w:tr>
        <w:trPr>
          <w:gridBefore w:val="1"/>
          <w:wBefore w:w="359" w:type="dxa"/>
          <w:trHeight w:val="408" w:hRule="atLeast"/>
        </w:trPr>
        <w:tc>
          <w:tcPr>
            <w:tcW w:w="140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装卸物料：□烟花爆竹成品、□氧化剂、□还原剂、□引火线、□黑火药、□其他</w:t>
            </w:r>
          </w:p>
        </w:tc>
      </w:tr>
      <w:tr>
        <w:trPr>
          <w:gridBefore w:val="1"/>
          <w:wBefore w:w="359" w:type="dxa"/>
          <w:cantSplit/>
        </w:trPr>
        <w:tc>
          <w:tcPr>
            <w:tcW w:w="11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操作清单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确认情况</w:t>
            </w:r>
            <w:r>
              <w:rPr>
                <w:rFonts w:eastAsia="仿宋"/>
              </w:rPr>
              <w:br w:type="textWrapping"/>
            </w:r>
            <w:r>
              <w:rPr>
                <w:rFonts w:eastAsia="仿宋"/>
              </w:rPr>
              <w:t>（是/否）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备注</w:t>
            </w:r>
          </w:p>
        </w:tc>
      </w:tr>
      <w:tr>
        <w:trPr>
          <w:gridBefore w:val="1"/>
          <w:wBefore w:w="359" w:type="dxa"/>
          <w:trHeight w:val="3639" w:hRule="atLeast"/>
        </w:trPr>
        <w:tc>
          <w:tcPr>
            <w:tcW w:w="11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1.作业人员入库前穿戴好符合要求的工作服，消除身体静电。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2.进入成品库区的机动车辆，排气管安装阻火器，装卸前熄火平稳停靠在仓库门前2.5米外。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3.根据库房核定药量作业，严禁超过库房核定储存药量。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4.分类存放，通道畅通，摆放整齐、平码堆放；堆垛与库墙距离、堆垛与堆垛距离、主通道宽度、堆垛的边长应、堆码高度按标准要求。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5.出入库产品和物料内外包装、合格证等标识符合标准要求。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6.按要求建立产品和物料堆垛标识卡，做到账、卡、物相符。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7.气温超过34℃或遇暴雨、雷电时，禁止作业。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8.定期维护库区消防等设施，做好库房通风、防潮、防小动物安全措施。</w:t>
            </w:r>
          </w:p>
          <w:p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9.作业人员应熟悉所储存物品的安全性能和消防器材的使用方法。</w:t>
            </w:r>
          </w:p>
          <w:p>
            <w:pPr>
              <w:spacing w:line="20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……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</w:rPr>
            </w:pPr>
          </w:p>
        </w:tc>
      </w:tr>
      <w:tr>
        <w:trPr>
          <w:gridBefore w:val="1"/>
          <w:wBefore w:w="359" w:type="dxa"/>
          <w:trHeight w:val="224" w:hRule="atLeast"/>
        </w:trPr>
        <w:tc>
          <w:tcPr>
            <w:tcW w:w="1402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</w:rPr>
            </w:pPr>
            <w:r>
              <w:rPr>
                <w:rFonts w:eastAsia="仿宋"/>
              </w:rPr>
              <w:t>作业人：</w:t>
            </w:r>
          </w:p>
        </w:tc>
      </w:tr>
      <w:tr>
        <w:trPr>
          <w:trHeight w:val="363" w:hRule="atLeast"/>
        </w:trPr>
        <w:tc>
          <w:tcPr>
            <w:tcW w:w="1438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b/>
              </w:rPr>
            </w:pPr>
            <w:r>
              <w:rPr>
                <w:rFonts w:hint="default" w:eastAsia="黑体"/>
                <w:sz w:val="24"/>
                <w:szCs w:val="40"/>
              </w:rPr>
              <w:t>1</w:t>
            </w:r>
            <w:r>
              <w:rPr>
                <w:rFonts w:eastAsia="黑体"/>
                <w:sz w:val="24"/>
                <w:szCs w:val="40"/>
              </w:rPr>
              <w:t>-4-1</w:t>
            </w:r>
            <w:r>
              <w:rPr>
                <w:rFonts w:hint="default" w:eastAsia="黑体"/>
                <w:sz w:val="24"/>
                <w:szCs w:val="40"/>
              </w:rPr>
              <w:t>3</w:t>
            </w:r>
            <w:bookmarkStart w:id="0" w:name="_GoBack"/>
            <w:bookmarkEnd w:id="0"/>
            <w:r>
              <w:rPr>
                <w:rFonts w:eastAsia="黑体"/>
                <w:sz w:val="24"/>
                <w:szCs w:val="40"/>
              </w:rPr>
              <w:t xml:space="preserve">  拆箱、查验安全操作清单</w:t>
            </w:r>
          </w:p>
        </w:tc>
      </w:tr>
      <w:tr>
        <w:trPr>
          <w:trHeight w:val="407" w:hRule="atLeast"/>
        </w:trPr>
        <w:tc>
          <w:tcPr>
            <w:tcW w:w="10664" w:type="dxa"/>
            <w:gridSpan w:val="7"/>
            <w:vAlign w:val="center"/>
          </w:tcPr>
          <w:p>
            <w:pPr>
              <w:textAlignment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库房编号：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textAlignment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填写时间：  年  月  日</w:t>
            </w:r>
          </w:p>
        </w:tc>
      </w:tr>
      <w:tr>
        <w:trPr>
          <w:cantSplit/>
        </w:trPr>
        <w:tc>
          <w:tcPr>
            <w:tcW w:w="10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序号</w:t>
            </w:r>
          </w:p>
        </w:tc>
        <w:tc>
          <w:tcPr>
            <w:tcW w:w="17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步骤</w:t>
            </w:r>
          </w:p>
        </w:tc>
        <w:tc>
          <w:tcPr>
            <w:tcW w:w="781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操作清单</w:t>
            </w:r>
          </w:p>
        </w:tc>
        <w:tc>
          <w:tcPr>
            <w:tcW w:w="23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确认情况（是/否）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操作前检查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1.作业场地、消防器材、开箱工具符合要求；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……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</w:p>
        </w:tc>
      </w:tr>
      <w:tr>
        <w:trPr>
          <w:trHeight w:val="326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操作前准备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1.正确佩戴防护用品；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……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</w:p>
        </w:tc>
      </w:tr>
      <w:tr>
        <w:trPr>
          <w:trHeight w:val="9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拆箱、查验作业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拆箱操作必须搬运到库房外的指定安全区域进行，严禁在库房内拆箱、开箱；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轻拿、轻放、轻搬动，严禁拖拉、碰撞、抛摔、挤压、摩擦、翻滚等违章行为；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产品标识完整、清洁，文字图案清晰，表面无浮药、无霉变、无污染，外形无明显变形、无损坏、无漏药；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产品规格型号、合格证、包装标识码、产品检验报告、出厂日期等符合标准要求；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拆箱后的散装产品单独存放，堆码高度不得超过1.5米；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产品试放必须在燃放试验场进行，并做好记录；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发现产品数量与货单不符时不予入库，并上报公司管理人员；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健全产品检验登记台账，如实记录产品检验情况；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过期或质量不合格的产品严禁入库，并进行登记，及时退货或销毁；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……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</w:p>
        </w:tc>
      </w:tr>
      <w:tr>
        <w:trPr>
          <w:trHeight w:val="677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eastAsia="仿宋"/>
                <w:sz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作业结束</w:t>
            </w:r>
          </w:p>
        </w:tc>
        <w:tc>
          <w:tcPr>
            <w:tcW w:w="7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1.清理现场，消除火患；</w:t>
            </w:r>
          </w:p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……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left"/>
              <w:rPr>
                <w:rFonts w:eastAsia="仿宋"/>
                <w:sz w:val="21"/>
              </w:rPr>
            </w:pPr>
          </w:p>
        </w:tc>
      </w:tr>
      <w:tr>
        <w:trPr>
          <w:trHeight w:val="224" w:hRule="atLeast"/>
        </w:trPr>
        <w:tc>
          <w:tcPr>
            <w:tcW w:w="1438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both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作业人：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CBD3"/>
    <w:rsid w:val="FBFEC6CD"/>
    <w:rsid w:val="FFBBC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</w:style>
  <w:style w:type="paragraph" w:customStyle="1" w:styleId="5">
    <w:name w:val="表格"/>
    <w:basedOn w:val="6"/>
    <w:next w:val="6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6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2023-03-08T22:46:00Z</dcterms:created>
  <dc:creator>WPS_1513130633</dc:creator>
  <cp:lastModifiedBy>WPS_1513130633</cp:lastModifiedBy>
  <dcterms:modified xsi:type="dcterms:W3CDTF">2023-03-08T14:59:45Z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0F40985DB54DE9C4322F08640D2EEC8D</vt:lpwstr>
  </property>
</Properties>
</file>