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cs="黑体" w:asciiTheme="minorEastAsia" w:hAnsiTheme="minorEastAsia"/>
          <w:b/>
          <w:sz w:val="32"/>
          <w:szCs w:val="32"/>
        </w:rPr>
      </w:pPr>
      <w:r>
        <w:rPr>
          <w:rFonts w:hint="eastAsia" w:cs="黑体" w:asciiTheme="minorEastAsia" w:hAnsiTheme="minorEastAsia"/>
          <w:b/>
          <w:sz w:val="32"/>
          <w:szCs w:val="32"/>
        </w:rPr>
        <w:t>汽车客运站安全检查清单</w:t>
      </w:r>
    </w:p>
    <w:tbl>
      <w:tblPr>
        <w:tblStyle w:val="13"/>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496"/>
        <w:gridCol w:w="187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25" w:type="dxa"/>
            <w:vAlign w:val="center"/>
          </w:tcPr>
          <w:p>
            <w:pPr>
              <w:jc w:val="center"/>
              <w:rPr>
                <w:rFonts w:cs="宋体" w:asciiTheme="minorEastAsia" w:hAnsiTheme="minorEastAsia"/>
                <w:b/>
                <w:bCs/>
                <w:szCs w:val="21"/>
              </w:rPr>
            </w:pPr>
            <w:r>
              <w:rPr>
                <w:rFonts w:hint="eastAsia" w:cs="宋体" w:asciiTheme="minorEastAsia" w:hAnsiTheme="minorEastAsia"/>
                <w:b/>
                <w:bCs/>
                <w:szCs w:val="21"/>
              </w:rPr>
              <w:t>检查事项</w:t>
            </w:r>
          </w:p>
        </w:tc>
        <w:tc>
          <w:tcPr>
            <w:tcW w:w="5496" w:type="dxa"/>
            <w:vAlign w:val="center"/>
          </w:tcPr>
          <w:p>
            <w:pPr>
              <w:jc w:val="center"/>
              <w:rPr>
                <w:rFonts w:cs="宋体" w:asciiTheme="minorEastAsia" w:hAnsiTheme="minorEastAsia"/>
                <w:b/>
                <w:bCs/>
                <w:szCs w:val="21"/>
              </w:rPr>
            </w:pPr>
            <w:r>
              <w:rPr>
                <w:rFonts w:hint="eastAsia" w:cs="宋体" w:asciiTheme="minorEastAsia" w:hAnsiTheme="minorEastAsia"/>
                <w:b/>
                <w:bCs/>
                <w:szCs w:val="21"/>
              </w:rPr>
              <w:t>检查排查内容</w:t>
            </w:r>
          </w:p>
        </w:tc>
        <w:tc>
          <w:tcPr>
            <w:tcW w:w="1877" w:type="dxa"/>
            <w:vAlign w:val="center"/>
          </w:tcPr>
          <w:p>
            <w:pPr>
              <w:jc w:val="center"/>
              <w:rPr>
                <w:rFonts w:cs="宋体" w:asciiTheme="minorEastAsia" w:hAnsiTheme="minorEastAsia"/>
                <w:b/>
                <w:bCs/>
                <w:szCs w:val="21"/>
              </w:rPr>
            </w:pPr>
            <w:r>
              <w:rPr>
                <w:rFonts w:hint="eastAsia" w:cs="宋体" w:asciiTheme="minorEastAsia" w:hAnsiTheme="minorEastAsia"/>
                <w:b/>
                <w:bCs/>
                <w:szCs w:val="21"/>
              </w:rPr>
              <w:t>检查周期</w:t>
            </w:r>
          </w:p>
        </w:tc>
        <w:tc>
          <w:tcPr>
            <w:tcW w:w="1588" w:type="dxa"/>
            <w:vAlign w:val="center"/>
          </w:tcPr>
          <w:p>
            <w:pPr>
              <w:jc w:val="center"/>
              <w:rPr>
                <w:rFonts w:asciiTheme="minorEastAsia" w:hAnsiTheme="minorEastAsia"/>
                <w:b/>
                <w:bCs/>
                <w:szCs w:val="21"/>
              </w:rPr>
            </w:pPr>
            <w:r>
              <w:rPr>
                <w:rFonts w:hint="eastAsia" w:asciiTheme="minorEastAsia" w:hAnsiTheme="minorEastAsia"/>
                <w:b/>
                <w:bCs/>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25" w:type="dxa"/>
            <w:vAlign w:val="center"/>
          </w:tcPr>
          <w:p>
            <w:pPr>
              <w:jc w:val="center"/>
              <w:rPr>
                <w:rFonts w:cs="宋体" w:asciiTheme="minorEastAsia" w:hAnsiTheme="minorEastAsia"/>
                <w:b/>
                <w:bCs/>
                <w:szCs w:val="21"/>
              </w:rPr>
            </w:pPr>
            <w:r>
              <w:rPr>
                <w:rFonts w:hint="eastAsia" w:cs="宋体" w:asciiTheme="minorEastAsia" w:hAnsiTheme="minorEastAsia"/>
                <w:b/>
                <w:bCs/>
                <w:szCs w:val="21"/>
              </w:rPr>
              <w:t>经营许可</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查企业《营业执照》、《道路运输经营许可证》</w:t>
            </w:r>
          </w:p>
          <w:p>
            <w:pPr>
              <w:rPr>
                <w:rFonts w:cs="宋体" w:asciiTheme="minorEastAsia" w:hAnsiTheme="minorEastAsia"/>
                <w:szCs w:val="21"/>
              </w:rPr>
            </w:pPr>
            <w:r>
              <w:rPr>
                <w:rFonts w:hint="eastAsia" w:cs="宋体" w:asciiTheme="minorEastAsia" w:hAnsiTheme="minorEastAsia"/>
                <w:szCs w:val="21"/>
              </w:rPr>
              <w:t>1.查证照有效期；2.查证照的经营范围。</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每年至少1次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安全管理机构和人员</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1.查公司安全生产领导机构设立文件，人员的任命文件；</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每季度至少1次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2.查公司安全专职机构的设立文件；负责人、专职安全管理人员的任命、任职文件；</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每季度至少1次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3.每年根据变化进行调整，并及时印发调整文件；</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4.查主要负责人、安全生产管理人员是否持有效证件上岗；</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5.涉及站场生产经营的三品查堵、车辆例检、出站核查等重点安全管理环节的具体人员</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安全生产规章制度操作规程</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1.查是否按规定建立健全安全生产管理制度；</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查阅印发文件和培训记录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2.查在新规定出台后，企业安全管理制度企业是否及时进行了修订完善；</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3.查是否按规定分类制定安全生产岗位操作规程</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安全管理目标和计划</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1.是否将各类安全生产管理指标细化分解到相关部门及岗位，查是否按规定签订各级安全生产目标责任书；</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查阅相关工作和考核奖惩文件及档案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2.查各级安全生产目标考核情况</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安全生产资金投入情况</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1.查是否制定安全生产经费提取使用计划；</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查阅费用提取、使用相关台账、档案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2.查是否依法足额提取、规范使用安全生产经费，是否建立专账；</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每半年至少一次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3.查是否依法参加工伤保险并按时缴纳费用；</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4.查是否配备安全生产必备的劳动防护用品</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安全生产</w:t>
            </w:r>
          </w:p>
          <w:p>
            <w:pPr>
              <w:jc w:val="center"/>
              <w:rPr>
                <w:rFonts w:cs="宋体" w:asciiTheme="minorEastAsia" w:hAnsiTheme="minorEastAsia"/>
                <w:b/>
                <w:bCs/>
                <w:szCs w:val="21"/>
              </w:rPr>
            </w:pPr>
            <w:r>
              <w:rPr>
                <w:rFonts w:hint="eastAsia" w:cs="宋体" w:asciiTheme="minorEastAsia" w:hAnsiTheme="minorEastAsia"/>
                <w:b/>
                <w:bCs/>
                <w:szCs w:val="21"/>
              </w:rPr>
              <w:t>会议</w:t>
            </w: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1.查是否按规定召开各类安全生产会议</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查阅相关台账、档案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2.查参会人员范围（是否与安全生产领导机构成员一致）</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3.查是否安全生产领导机构会议形成会议纪要</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4.查安全生产领导机构会议议定事项落实情况。</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安全生产教育培训情况</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1.查是否制定安全生产教育培训计划；</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查阅相关教育培训台账、档案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2.查是否按规定的内容、要求开展管理人员教育培训；</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每半年至少一次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3.查从业人员安全生产教育培训开展情况</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装备设备</w:t>
            </w: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1.查消防设施设备和消防器材是否完好有效</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2.查疏散紧急通道是否畅通、相关标识齐全；</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3.查售票厅、候车室、停车场等设置安全宣传告示设备、安全警示标志、导向示意图、指示牌、限速牌等是否标识齐全</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4.配备行包安全检查设备、安全例检设备是否符合要求；</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5.查各类安全设施、设备维护、使用登记台账和档案</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查阅台账、档案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三品查堵</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1.查按照《交通部汽车客运站三品查堵工作规范》，制定并落实“三品”（易燃、易爆、易腐蚀危险化学品）查堵工作制度；</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2.制定并落实“三品”检查工作流程和程序，设立专职“三品”查堵岗位，是否配有与站场乘客流量相适宜的“三品”检查工作人员；</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3.查进站旅客携带的行李和托运的行包进行安全检查，是否做到“逢包必检”“逢疑必查”，对疑似“三品”行李实行开包查验</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4.查“三品”登记和处理台账，是否对查获的“三品”进行登记，并按有关规定妥善处理</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车辆例检</w:t>
            </w:r>
          </w:p>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按照《营运客车安全例行检查技术规范》，制定车辆安全例检制度、例检工作人员岗位职责、例检工作程序、例检工作工艺流程图、客车例检技术要求、客车例检项目和检查验收标准等工作制度及操作规程；</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2.查是否按规定配备已取得有效从业资质的例检人员，并经岗前培训合格后上岗；</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每半年至少一次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3.查例检人员例检作业时是否按照例检项目、内容和程序对车辆有关系统和安全机件和设施进行检查，并按规定规范填写《</w:t>
            </w:r>
            <w:bookmarkStart w:id="0" w:name="_Hlk9414212"/>
            <w:r>
              <w:rPr>
                <w:rFonts w:hint="eastAsia" w:cs="宋体" w:asciiTheme="minorEastAsia" w:hAnsiTheme="minorEastAsia"/>
                <w:szCs w:val="21"/>
              </w:rPr>
              <w:t>营运客车安全例行检查报告单</w:t>
            </w:r>
            <w:bookmarkEnd w:id="0"/>
            <w:r>
              <w:rPr>
                <w:rFonts w:hint="eastAsia" w:cs="宋体" w:asciiTheme="minorEastAsia" w:hAnsiTheme="minorEastAsia"/>
                <w:szCs w:val="21"/>
              </w:rPr>
              <w:t>》和《营运客车安全例行检查合格通知单》；</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4.查经检查发现客车存在故障和安全隐患例检项目不合格的客车，例检人员是否开具《营运客车安全例检不合格项目告知单》，是否重新按照例检程序进行复查验收</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站场秩序及停车场管理</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1.查客运站是否实行封闭式管理，停车场做到人流、货流、车流是否有效分离，确保有序管理；</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每半年至少一次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2.查客运站是否实行车辆进出分道、人行分道、发车区、停车区、上下客区区分管理，确保无关人员不进站、无关车辆不进站</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报班调度及站务管理</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1.查调度部门在调度客车发班时，是否对车辆和驾驶员相关的“五证一牌两单”（行驶证、营运证、驾驶证、车辆二级维护合格证、保险证、从业资格证、线路牌、车辆安全例检合格单）进行逐项核查；</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2.查是否严格执行单程400公里（高速公路600公里）配备双驾制度，建立参营车辆配备双驾登记台账。在车辆报班时，应对两名驾驶员配备的相关信息进行核实</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出站检查</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1.查是否按照《交通部汽车客运站营运客车出站检查工作规范》，制定并落实客车出站检查制度；</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车辆出站前相关人员是否上车核对安全例检合格单、比对驾驶员与驾驶证是否相符，查验驾驶员从业资格证和客车行驶证、道路运输证、线路标志牌，查验核载人数和实载人数，逐人核查乘客佩戴安全带以及车辆消防器材和逃生器材配备情况等相关项目；</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3.查出站检查人员是否按要求填写《汽车客运站车辆出站登记表》，并经受检客车驾驶员签字确认；</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4.查出站检查人员是否监督客车驾驶员按规定播放安全告知视频，是否向乘客进行安全告知和安全承诺。</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每日至少一次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风险管控与隐患排查双重机制</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1.查是否按规定建立“双重机制”；是否对相关作业活动进行危险有害因素识别；</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查阅危险有害因素识别记录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2.查是否制定“两清单、一卡、一册”，即：管控责任清单、管控措施清单、“明白卡”；</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3.查是否建立安全生产检查和监督制度，完善排查和治理长效工作机制，制定隐患排查工作方案；</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Merge w:val="restart"/>
            <w:vAlign w:val="center"/>
          </w:tcPr>
          <w:p>
            <w:pPr>
              <w:jc w:val="center"/>
              <w:rPr>
                <w:rFonts w:asciiTheme="minorEastAsia" w:hAnsiTheme="minorEastAsia"/>
                <w:szCs w:val="21"/>
              </w:rPr>
            </w:pPr>
            <w:r>
              <w:rPr>
                <w:rFonts w:hint="eastAsia" w:cs="仿宋_GB2312" w:asciiTheme="minorEastAsia" w:hAnsiTheme="minorEastAsia"/>
                <w:szCs w:val="21"/>
              </w:rPr>
              <w:t>查阅隐患治理相关台账和档案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4.查是否按安全隐患排查计划方案和季节性事故防范特点，开展隐患排查</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Merge w:val="continue"/>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应急管理</w:t>
            </w:r>
          </w:p>
        </w:tc>
        <w:tc>
          <w:tcPr>
            <w:tcW w:w="5496" w:type="dxa"/>
            <w:vAlign w:val="center"/>
          </w:tcPr>
          <w:p>
            <w:pPr>
              <w:rPr>
                <w:rFonts w:cs="宋体" w:asciiTheme="minorEastAsia" w:hAnsiTheme="minorEastAsia"/>
                <w:szCs w:val="21"/>
              </w:rPr>
            </w:pPr>
            <w:r>
              <w:rPr>
                <w:rFonts w:hint="eastAsia" w:cs="宋体" w:asciiTheme="minorEastAsia" w:hAnsiTheme="minorEastAsia"/>
                <w:szCs w:val="21"/>
              </w:rPr>
              <w:t>1.查是否结合实际，制定应急预案；应急预案应及时备案；</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查阅相关制度印发文件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2.查是否开展应急预案教育培训和演练；</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asciiTheme="minorEastAsia" w:hAnsiTheme="minorEastAsia"/>
                <w:szCs w:val="21"/>
              </w:rPr>
              <w:t>查阅相关</w:t>
            </w:r>
            <w:r>
              <w:rPr>
                <w:rFonts w:hint="eastAsia" w:cs="仿宋_GB2312" w:asciiTheme="minorEastAsia" w:hAnsiTheme="minorEastAsia"/>
                <w:szCs w:val="21"/>
              </w:rPr>
              <w:t>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cs="宋体" w:asciiTheme="minorEastAsia" w:hAnsiTheme="minorEastAsia"/>
                <w:szCs w:val="21"/>
              </w:rPr>
            </w:pPr>
            <w:r>
              <w:rPr>
                <w:rFonts w:hint="eastAsia" w:cs="宋体" w:asciiTheme="minorEastAsia" w:hAnsiTheme="minorEastAsia"/>
                <w:szCs w:val="21"/>
              </w:rPr>
              <w:t>3</w:t>
            </w:r>
            <w:r>
              <w:rPr>
                <w:rFonts w:hint="eastAsia" w:cs="宋体" w:asciiTheme="minorEastAsia" w:hAnsiTheme="minorEastAsia"/>
                <w:szCs w:val="21"/>
                <w:lang w:val="en-US" w:eastAsia="zh-CN"/>
              </w:rPr>
              <w:t>.</w:t>
            </w:r>
            <w:r>
              <w:rPr>
                <w:rFonts w:hint="eastAsia" w:cs="宋体" w:asciiTheme="minorEastAsia" w:hAnsiTheme="minorEastAsia"/>
                <w:szCs w:val="21"/>
              </w:rPr>
              <w:t>查是否建立与本企业安全生产特点相适应的专兼职应急救援队伍或指定专兼职应急救援人员；</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每年至少一次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查阅台账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5" w:type="dxa"/>
            <w:vMerge w:val="continue"/>
            <w:vAlign w:val="center"/>
          </w:tcPr>
          <w:p>
            <w:pPr>
              <w:jc w:val="center"/>
              <w:rPr>
                <w:rFonts w:cs="宋体" w:asciiTheme="minorEastAsia" w:hAnsiTheme="minorEastAsia"/>
                <w:b/>
                <w:bCs/>
                <w:szCs w:val="21"/>
              </w:rPr>
            </w:pPr>
          </w:p>
        </w:tc>
        <w:tc>
          <w:tcPr>
            <w:tcW w:w="5496"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szCs w:val="21"/>
              </w:rPr>
              <w:t>4.查是否按照应急预案的要求配备相应的应急物资和装备</w:t>
            </w:r>
            <w:r>
              <w:rPr>
                <w:rFonts w:hint="eastAsia" w:cs="宋体" w:asciiTheme="minorEastAsia" w:hAnsiTheme="minorEastAsia"/>
                <w:szCs w:val="21"/>
                <w:lang w:eastAsia="zh-CN"/>
              </w:rPr>
              <w:t>。</w:t>
            </w:r>
          </w:p>
        </w:tc>
        <w:tc>
          <w:tcPr>
            <w:tcW w:w="1877" w:type="dxa"/>
            <w:vAlign w:val="center"/>
          </w:tcPr>
          <w:p>
            <w:pPr>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Align w:val="center"/>
          </w:tcPr>
          <w:p>
            <w:pPr>
              <w:jc w:val="center"/>
              <w:rPr>
                <w:rFonts w:asciiTheme="minorEastAsia" w:hAnsiTheme="minorEastAsia"/>
                <w:szCs w:val="21"/>
              </w:rPr>
            </w:pPr>
            <w:r>
              <w:rPr>
                <w:rFonts w:hint="eastAsia" w:cs="仿宋_GB2312" w:asciiTheme="minorEastAsia" w:hAnsiTheme="minorEastAsia"/>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25" w:type="dxa"/>
            <w:vMerge w:val="restart"/>
            <w:vAlign w:val="center"/>
          </w:tcPr>
          <w:p>
            <w:pPr>
              <w:jc w:val="center"/>
              <w:rPr>
                <w:rFonts w:cs="宋体" w:asciiTheme="minorEastAsia" w:hAnsiTheme="minorEastAsia"/>
                <w:b/>
                <w:bCs/>
                <w:szCs w:val="21"/>
              </w:rPr>
            </w:pPr>
            <w:r>
              <w:rPr>
                <w:rFonts w:hint="eastAsia" w:cs="宋体" w:asciiTheme="minorEastAsia" w:hAnsiTheme="minorEastAsia"/>
                <w:b/>
                <w:bCs/>
                <w:szCs w:val="21"/>
              </w:rPr>
              <w:t>安全事故</w:t>
            </w:r>
          </w:p>
          <w:p>
            <w:pPr>
              <w:jc w:val="center"/>
              <w:rPr>
                <w:rFonts w:cs="宋体" w:asciiTheme="minorEastAsia" w:hAnsiTheme="minorEastAsia"/>
                <w:b/>
                <w:bCs/>
                <w:szCs w:val="21"/>
              </w:rPr>
            </w:pPr>
            <w:r>
              <w:rPr>
                <w:rFonts w:hint="eastAsia" w:cs="宋体" w:asciiTheme="minorEastAsia" w:hAnsiTheme="minorEastAsia"/>
                <w:b/>
                <w:bCs/>
                <w:szCs w:val="21"/>
              </w:rPr>
              <w:t>管理</w:t>
            </w:r>
          </w:p>
        </w:tc>
        <w:tc>
          <w:tcPr>
            <w:tcW w:w="5496" w:type="dxa"/>
            <w:vAlign w:val="center"/>
          </w:tcPr>
          <w:p>
            <w:pPr>
              <w:spacing w:line="400" w:lineRule="exact"/>
              <w:rPr>
                <w:rFonts w:hint="eastAsia" w:cs="宋体" w:asciiTheme="minorEastAsia" w:hAnsiTheme="minorEastAsia" w:eastAsiaTheme="minorEastAsia"/>
                <w:szCs w:val="21"/>
                <w:lang w:eastAsia="zh-CN"/>
              </w:rPr>
            </w:pPr>
            <w:r>
              <w:rPr>
                <w:rFonts w:hint="eastAsia" w:cs="宋体" w:asciiTheme="minorEastAsia" w:hAnsiTheme="minorEastAsia"/>
                <w:szCs w:val="21"/>
              </w:rPr>
              <w:t>1.查企业事故档案台账</w:t>
            </w:r>
            <w:r>
              <w:rPr>
                <w:rFonts w:hint="eastAsia" w:cs="宋体" w:asciiTheme="minorEastAsia" w:hAnsiTheme="minorEastAsia"/>
                <w:szCs w:val="21"/>
                <w:lang w:eastAsia="zh-CN"/>
              </w:rPr>
              <w:t>；</w:t>
            </w:r>
          </w:p>
        </w:tc>
        <w:tc>
          <w:tcPr>
            <w:tcW w:w="1877" w:type="dxa"/>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每季度至少一次</w:t>
            </w:r>
          </w:p>
        </w:tc>
        <w:tc>
          <w:tcPr>
            <w:tcW w:w="1588" w:type="dxa"/>
            <w:vMerge w:val="restart"/>
            <w:vAlign w:val="center"/>
          </w:tcPr>
          <w:p>
            <w:pPr>
              <w:jc w:val="center"/>
              <w:rPr>
                <w:rFonts w:asciiTheme="minorEastAsia" w:hAnsiTheme="minorEastAsia"/>
                <w:szCs w:val="21"/>
              </w:rPr>
            </w:pPr>
            <w:r>
              <w:rPr>
                <w:rFonts w:hint="eastAsia" w:asciiTheme="minorEastAsia" w:hAnsiTheme="minorEastAsia"/>
                <w:szCs w:val="21"/>
              </w:rPr>
              <w:t>查阅相关</w:t>
            </w:r>
            <w:r>
              <w:rPr>
                <w:rFonts w:hint="eastAsia" w:cs="仿宋_GB2312" w:asciiTheme="minorEastAsia" w:hAnsiTheme="minorEastAsia"/>
                <w:szCs w:val="21"/>
              </w:rPr>
              <w:t>台账和档案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25" w:type="dxa"/>
            <w:vMerge w:val="continue"/>
            <w:vAlign w:val="center"/>
          </w:tcPr>
          <w:p>
            <w:pPr>
              <w:rPr>
                <w:rFonts w:cs="宋体" w:asciiTheme="minorEastAsia" w:hAnsiTheme="minorEastAsia"/>
                <w:b/>
                <w:bCs/>
                <w:szCs w:val="21"/>
              </w:rPr>
            </w:pPr>
          </w:p>
        </w:tc>
        <w:tc>
          <w:tcPr>
            <w:tcW w:w="5496" w:type="dxa"/>
            <w:vAlign w:val="center"/>
          </w:tcPr>
          <w:p>
            <w:pPr>
              <w:spacing w:line="400" w:lineRule="exact"/>
              <w:rPr>
                <w:rFonts w:cs="宋体" w:asciiTheme="minorEastAsia" w:hAnsiTheme="minorEastAsia"/>
                <w:szCs w:val="21"/>
              </w:rPr>
            </w:pPr>
            <w:r>
              <w:rPr>
                <w:rFonts w:hint="eastAsia" w:cs="宋体" w:asciiTheme="minorEastAsia" w:hAnsiTheme="minorEastAsia"/>
                <w:szCs w:val="21"/>
              </w:rPr>
              <w:t>2.查事故统计、分析情况。</w:t>
            </w:r>
          </w:p>
        </w:tc>
        <w:tc>
          <w:tcPr>
            <w:tcW w:w="1877" w:type="dxa"/>
            <w:vAlign w:val="center"/>
          </w:tcPr>
          <w:p>
            <w:pPr>
              <w:spacing w:line="400" w:lineRule="exact"/>
              <w:jc w:val="center"/>
              <w:rPr>
                <w:rFonts w:cs="宋体" w:asciiTheme="minorEastAsia" w:hAnsiTheme="minorEastAsia"/>
                <w:szCs w:val="21"/>
              </w:rPr>
            </w:pPr>
            <w:r>
              <w:rPr>
                <w:rFonts w:hint="eastAsia" w:cs="宋体" w:asciiTheme="minorEastAsia" w:hAnsiTheme="minorEastAsia"/>
                <w:szCs w:val="21"/>
              </w:rPr>
              <w:t>每月至少一次</w:t>
            </w:r>
          </w:p>
        </w:tc>
        <w:tc>
          <w:tcPr>
            <w:tcW w:w="1588" w:type="dxa"/>
            <w:vMerge w:val="continue"/>
            <w:vAlign w:val="center"/>
          </w:tcPr>
          <w:p>
            <w:pPr>
              <w:rPr>
                <w:rFonts w:asciiTheme="minorEastAsia" w:hAnsiTheme="minorEastAsia"/>
                <w:szCs w:val="21"/>
              </w:rPr>
            </w:pPr>
          </w:p>
        </w:tc>
      </w:tr>
    </w:tbl>
    <w:p>
      <w:pPr>
        <w:pStyle w:val="12"/>
        <w:ind w:left="0" w:leftChars="0" w:firstLine="0" w:firstLineChars="0"/>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1B926DAB"/>
    <w:rsid w:val="093277A9"/>
    <w:rsid w:val="0C00517C"/>
    <w:rsid w:val="0DEA1EA6"/>
    <w:rsid w:val="1B926DAB"/>
    <w:rsid w:val="1BD80837"/>
    <w:rsid w:val="1C7F2A05"/>
    <w:rsid w:val="1D222E46"/>
    <w:rsid w:val="269B0465"/>
    <w:rsid w:val="2DD907B5"/>
    <w:rsid w:val="332858D5"/>
    <w:rsid w:val="341C3FDE"/>
    <w:rsid w:val="36B129D7"/>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uiPriority w:val="0"/>
    <w:rPr>
      <w:rFonts w:ascii="Calibri" w:hAnsi="Calibri" w:eastAsia="宋体"/>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1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0</TotalTime>
  <ScaleCrop>false</ScaleCrop>
  <LinksUpToDate>false</LinksUpToDate>
  <CharactersWithSpaces>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2023-03-03T01:38:00Z</dcterms:created>
  <dc:creator>孙瑞</dc:creator>
  <cp:lastModifiedBy>孙瑞</cp:lastModifiedBy>
  <dcterms:modified xsi:type="dcterms:W3CDTF">2023-03-03T01:38:52Z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4424B1434D454E13AC48EBA33CFC7BEB</vt:lpwstr>
  </property>
</Properties>
</file>