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黑体" w:asciiTheme="minorEastAsia" w:hAnsiTheme="minorEastAsia"/>
          <w:b/>
          <w:bCs/>
          <w:sz w:val="32"/>
          <w:szCs w:val="32"/>
        </w:rPr>
      </w:pPr>
      <w:r>
        <w:rPr>
          <w:rFonts w:hint="eastAsia" w:cs="黑体" w:asciiTheme="minorEastAsia" w:hAnsiTheme="minorEastAsia"/>
          <w:b/>
          <w:bCs/>
          <w:sz w:val="32"/>
          <w:szCs w:val="32"/>
        </w:rPr>
        <w:t>汽车客运站重要岗位安全生产操作清单</w:t>
      </w:r>
    </w:p>
    <w:tbl>
      <w:tblPr>
        <w:tblStyle w:val="13"/>
        <w:tblpPr w:leftFromText="180" w:rightFromText="180" w:vertAnchor="text" w:horzAnchor="page" w:tblpX="664" w:tblpY="210"/>
        <w:tblOverlap w:val="never"/>
        <w:tblW w:w="15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219"/>
        <w:gridCol w:w="8565"/>
        <w:gridCol w:w="1984"/>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序号</w:t>
            </w:r>
          </w:p>
        </w:tc>
        <w:tc>
          <w:tcPr>
            <w:tcW w:w="1219"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w:t>
            </w:r>
          </w:p>
        </w:tc>
        <w:tc>
          <w:tcPr>
            <w:tcW w:w="856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安全操作清单</w:t>
            </w:r>
          </w:p>
        </w:tc>
        <w:tc>
          <w:tcPr>
            <w:tcW w:w="1984"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责任人</w:t>
            </w:r>
          </w:p>
        </w:tc>
        <w:tc>
          <w:tcPr>
            <w:tcW w:w="1888"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1523" w:type="dxa"/>
            <w:vAlign w:val="center"/>
          </w:tcPr>
          <w:p>
            <w:pPr>
              <w:jc w:val="center"/>
              <w:rPr>
                <w:rFonts w:cs="方正粗黑宋简体" w:asciiTheme="minorEastAsia" w:hAnsiTheme="minorEastAsia"/>
                <w:bCs/>
                <w:szCs w:val="21"/>
              </w:rPr>
            </w:pPr>
            <w:r>
              <w:rPr>
                <w:rFonts w:hint="eastAsia" w:cs="宋体" w:asciiTheme="minorEastAsia" w:hAnsiTheme="minorEastAsia"/>
                <w:szCs w:val="21"/>
              </w:rPr>
              <w:t>1</w:t>
            </w:r>
          </w:p>
        </w:tc>
        <w:tc>
          <w:tcPr>
            <w:tcW w:w="1219" w:type="dxa"/>
            <w:vAlign w:val="center"/>
          </w:tcPr>
          <w:p>
            <w:pPr>
              <w:jc w:val="center"/>
              <w:rPr>
                <w:rFonts w:cs="方正粗黑宋简体" w:asciiTheme="minorEastAsia" w:hAnsiTheme="minorEastAsia"/>
                <w:bCs/>
                <w:szCs w:val="21"/>
              </w:rPr>
            </w:pPr>
            <w:r>
              <w:rPr>
                <w:rFonts w:hint="eastAsia" w:cs="宋体" w:asciiTheme="minorEastAsia" w:hAnsiTheme="minorEastAsia"/>
                <w:szCs w:val="21"/>
              </w:rPr>
              <w:t>车辆安全例检</w:t>
            </w:r>
          </w:p>
        </w:tc>
        <w:tc>
          <w:tcPr>
            <w:tcW w:w="8565" w:type="dxa"/>
            <w:vAlign w:val="center"/>
          </w:tcPr>
          <w:p>
            <w:pPr>
              <w:adjustRightInd w:val="0"/>
              <w:snapToGrid w:val="0"/>
              <w:spacing w:line="300" w:lineRule="auto"/>
              <w:ind w:firstLine="360" w:firstLineChars="150"/>
              <w:rPr>
                <w:rFonts w:cs="Times New Roman" w:asciiTheme="minorEastAsia" w:hAnsiTheme="minorEastAsia"/>
                <w:szCs w:val="21"/>
              </w:rPr>
            </w:pPr>
            <w:r>
              <w:rPr>
                <w:rFonts w:hint="eastAsia" w:cs="Times New Roman" w:asciiTheme="minorEastAsia" w:hAnsiTheme="minorEastAsia"/>
                <w:szCs w:val="21"/>
              </w:rPr>
              <w:t>1.正确使用配备的各类例检设施、设备、机具和正确佩戴、使用劳动保护用具、用品；</w:t>
            </w:r>
          </w:p>
          <w:p>
            <w:pPr>
              <w:adjustRightInd w:val="0"/>
              <w:snapToGrid w:val="0"/>
              <w:spacing w:line="300" w:lineRule="auto"/>
              <w:ind w:firstLine="360" w:firstLineChars="150"/>
              <w:rPr>
                <w:rFonts w:cs="Times New Roman" w:asciiTheme="minorEastAsia" w:hAnsiTheme="minorEastAsia"/>
                <w:szCs w:val="21"/>
              </w:rPr>
            </w:pPr>
            <w:r>
              <w:rPr>
                <w:rFonts w:hint="eastAsia" w:cs="Times New Roman" w:asciiTheme="minorEastAsia" w:hAnsiTheme="minorEastAsia"/>
                <w:szCs w:val="21"/>
              </w:rPr>
              <w:t>2.指挥接受例检的车辆低于５公里的时速安全驶入适当位置停车，关闭档车器栏杆并开启红色信号警示灯；</w:t>
            </w:r>
          </w:p>
          <w:p>
            <w:pPr>
              <w:adjustRightInd w:val="0"/>
              <w:snapToGrid w:val="0"/>
              <w:spacing w:line="300" w:lineRule="auto"/>
              <w:ind w:firstLine="360" w:firstLineChars="150"/>
              <w:rPr>
                <w:rFonts w:cs="Times New Roman" w:asciiTheme="minorEastAsia" w:hAnsiTheme="minorEastAsia"/>
                <w:szCs w:val="21"/>
              </w:rPr>
            </w:pPr>
            <w:r>
              <w:rPr>
                <w:rFonts w:hint="eastAsia" w:cs="Times New Roman" w:asciiTheme="minorEastAsia" w:hAnsiTheme="minorEastAsia"/>
                <w:szCs w:val="21"/>
              </w:rPr>
              <w:t>3.由</w:t>
            </w:r>
            <w:r>
              <w:rPr>
                <w:rFonts w:hint="eastAsia" w:cs="Times New Roman" w:asciiTheme="minorEastAsia" w:hAnsiTheme="minorEastAsia"/>
                <w:b/>
                <w:szCs w:val="21"/>
              </w:rPr>
              <w:t>2</w:t>
            </w:r>
            <w:r>
              <w:rPr>
                <w:rFonts w:hint="eastAsia" w:cs="Times New Roman" w:asciiTheme="minorEastAsia" w:hAnsiTheme="minorEastAsia"/>
                <w:szCs w:val="21"/>
              </w:rPr>
              <w:t>名例检人员在受检车辆驾驶员配合下，按照例检项目及标准认真细致的检查，同时应当注意自身的安全保护；</w:t>
            </w:r>
          </w:p>
          <w:p>
            <w:pPr>
              <w:adjustRightInd w:val="0"/>
              <w:snapToGrid w:val="0"/>
              <w:spacing w:line="300" w:lineRule="auto"/>
              <w:ind w:firstLine="360" w:firstLineChars="150"/>
              <w:rPr>
                <w:rFonts w:cs="Times New Roman" w:asciiTheme="minorEastAsia" w:hAnsiTheme="minorEastAsia"/>
                <w:szCs w:val="21"/>
              </w:rPr>
            </w:pPr>
            <w:r>
              <w:rPr>
                <w:rFonts w:hint="eastAsia" w:cs="Times New Roman" w:asciiTheme="minorEastAsia" w:hAnsiTheme="minorEastAsia"/>
                <w:szCs w:val="21"/>
              </w:rPr>
              <w:t>4.检查工作结束，例检人员离开作业区到达安全位置后，开启档车器栏杆，并关闭红色信号警示灯，开启绿色信号指示灯指挥车辆缓慢驶出安检地沟；</w:t>
            </w:r>
          </w:p>
          <w:p>
            <w:pPr>
              <w:adjustRightInd w:val="0"/>
              <w:snapToGrid w:val="0"/>
              <w:spacing w:line="300" w:lineRule="auto"/>
              <w:ind w:firstLine="360" w:firstLineChars="150"/>
              <w:rPr>
                <w:rFonts w:cs="Times New Roman" w:asciiTheme="minorEastAsia" w:hAnsiTheme="minorEastAsia"/>
                <w:szCs w:val="21"/>
              </w:rPr>
            </w:pPr>
            <w:r>
              <w:rPr>
                <w:rFonts w:hint="eastAsia" w:cs="Times New Roman" w:asciiTheme="minorEastAsia" w:hAnsiTheme="minorEastAsia"/>
                <w:szCs w:val="21"/>
              </w:rPr>
              <w:t>5.例检合格的车辆按要求填写《例检记录表》、《安检签单记录卡》；</w:t>
            </w:r>
          </w:p>
          <w:p>
            <w:pPr>
              <w:adjustRightInd w:val="0"/>
              <w:snapToGrid w:val="0"/>
              <w:spacing w:line="300" w:lineRule="auto"/>
              <w:ind w:firstLine="360" w:firstLineChars="150"/>
              <w:rPr>
                <w:rFonts w:cs="Times New Roman" w:asciiTheme="minorEastAsia" w:hAnsiTheme="minorEastAsia"/>
                <w:szCs w:val="21"/>
              </w:rPr>
            </w:pPr>
            <w:r>
              <w:rPr>
                <w:rFonts w:hint="eastAsia" w:cs="Times New Roman" w:asciiTheme="minorEastAsia" w:hAnsiTheme="minorEastAsia"/>
                <w:szCs w:val="21"/>
              </w:rPr>
              <w:t>6.如例检不合格车辆填写《例检记录表》和《例行检查不合格处理登记表》，并现场立即进行整改，不能现场整改完成的，开具《停班通知书》通知相关部门停运，待整改完成并经复检合格后，要再次填写相关的全部登记表格和签字确认，恢复运行。</w:t>
            </w:r>
          </w:p>
          <w:p>
            <w:pPr>
              <w:jc w:val="center"/>
              <w:rPr>
                <w:rFonts w:cs="方正粗黑宋简体" w:asciiTheme="minorEastAsia" w:hAnsiTheme="minorEastAsia"/>
                <w:bCs/>
                <w:szCs w:val="21"/>
              </w:rPr>
            </w:pPr>
          </w:p>
        </w:tc>
        <w:tc>
          <w:tcPr>
            <w:tcW w:w="1984" w:type="dxa"/>
            <w:vAlign w:val="center"/>
          </w:tcPr>
          <w:p>
            <w:pPr>
              <w:jc w:val="center"/>
              <w:rPr>
                <w:rFonts w:cs="方正粗黑宋简体" w:asciiTheme="minorEastAsia" w:hAnsiTheme="minorEastAsia"/>
                <w:bCs/>
                <w:szCs w:val="21"/>
              </w:rPr>
            </w:pPr>
          </w:p>
        </w:tc>
        <w:tc>
          <w:tcPr>
            <w:tcW w:w="1888" w:type="dxa"/>
            <w:vAlign w:val="center"/>
          </w:tcPr>
          <w:p>
            <w:pPr>
              <w:jc w:val="center"/>
              <w:rPr>
                <w:rFonts w:cs="方正粗黑宋简体"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523" w:type="dxa"/>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1219" w:type="dxa"/>
            <w:vAlign w:val="center"/>
          </w:tcPr>
          <w:p>
            <w:pPr>
              <w:jc w:val="center"/>
              <w:rPr>
                <w:rFonts w:cs="宋体" w:asciiTheme="minorEastAsia" w:hAnsiTheme="minorEastAsia"/>
                <w:szCs w:val="21"/>
              </w:rPr>
            </w:pPr>
            <w:r>
              <w:rPr>
                <w:rFonts w:hint="eastAsia" w:cs="宋体" w:asciiTheme="minorEastAsia" w:hAnsiTheme="minorEastAsia"/>
                <w:szCs w:val="21"/>
              </w:rPr>
              <w:t>调度</w:t>
            </w:r>
          </w:p>
        </w:tc>
        <w:tc>
          <w:tcPr>
            <w:tcW w:w="8565" w:type="dxa"/>
            <w:vAlign w:val="center"/>
          </w:tcPr>
          <w:p>
            <w:pPr>
              <w:adjustRightInd w:val="0"/>
              <w:snapToGrid w:val="0"/>
              <w:spacing w:line="300" w:lineRule="auto"/>
              <w:ind w:firstLine="360" w:firstLineChars="150"/>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rPr>
              <w:t>1.通过IC卡安全管理系统传递的客运班车信息，对驾驶员所持的该车《安检签单记录卡》和《安全检查合格通知单》等进行符合性查验后报班</w:t>
            </w:r>
            <w:r>
              <w:rPr>
                <w:rFonts w:hint="eastAsia" w:cs="Times New Roman" w:asciiTheme="minorEastAsia" w:hAnsiTheme="minorEastAsia"/>
                <w:szCs w:val="21"/>
                <w:lang w:eastAsia="zh-CN"/>
              </w:rPr>
              <w:t>；</w:t>
            </w:r>
          </w:p>
          <w:p>
            <w:pPr>
              <w:adjustRightInd w:val="0"/>
              <w:snapToGrid w:val="0"/>
              <w:spacing w:line="300" w:lineRule="auto"/>
              <w:ind w:firstLine="360" w:firstLineChars="150"/>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rPr>
              <w:t>2.调度人员在确认该客车符合营运要求后，分别在“记录卡”和“通知单”上面签字确认，填写报班登记表，并按照该车辆的营运资质信息，合理安排该车的营运线路、班次时间和核定载客人数，将相关信息录入IC卡安全管理系统和客运站的微机售、检票系统组织售、检票工作。同时要查验驾驶里程，防止疲劳驾驶，并及时对误班车辆班次进行行调整，随时掌握旅客流量、流向变化情况，公平、合理安排加班车辆</w:t>
            </w:r>
            <w:r>
              <w:rPr>
                <w:rFonts w:hint="eastAsia" w:cs="Times New Roman" w:asciiTheme="minorEastAsia" w:hAnsiTheme="minorEastAsia"/>
                <w:szCs w:val="21"/>
                <w:lang w:eastAsia="zh-CN"/>
              </w:rPr>
              <w:t>；</w:t>
            </w:r>
          </w:p>
          <w:p>
            <w:pPr>
              <w:adjustRightInd w:val="0"/>
              <w:snapToGrid w:val="0"/>
              <w:spacing w:line="300" w:lineRule="auto"/>
              <w:ind w:firstLine="360" w:firstLineChars="150"/>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rPr>
              <w:t>3.在调派车辆加班和包车时，必须严格审核车辆的营运资质和安全例检、营手续检查合格信息，临时抽调的车必须保存车辆和驾驶员资质信息和相关资料的原始证明，并将相关信息录入IC卡安全管理系统保存。同时，应当严格执行上级明文规定的安全行车线路和运行时间规定</w:t>
            </w:r>
            <w:r>
              <w:rPr>
                <w:rFonts w:hint="eastAsia" w:cs="Times New Roman" w:asciiTheme="minorEastAsia" w:hAnsiTheme="minorEastAsia"/>
                <w:szCs w:val="21"/>
                <w:lang w:eastAsia="zh-CN"/>
              </w:rPr>
              <w:t>；</w:t>
            </w:r>
          </w:p>
          <w:p>
            <w:pPr>
              <w:adjustRightInd w:val="0"/>
              <w:snapToGrid w:val="0"/>
              <w:spacing w:line="300" w:lineRule="auto"/>
              <w:ind w:firstLine="360" w:firstLineChars="150"/>
              <w:rPr>
                <w:rFonts w:hint="eastAsia" w:cs="Times New Roman" w:asciiTheme="minorEastAsia" w:hAnsiTheme="minorEastAsia" w:eastAsiaTheme="minorEastAsia"/>
                <w:szCs w:val="21"/>
                <w:lang w:eastAsia="zh-CN"/>
              </w:rPr>
            </w:pPr>
            <w:r>
              <w:rPr>
                <w:rFonts w:hint="eastAsia" w:cs="Times New Roman" w:asciiTheme="minorEastAsia" w:hAnsiTheme="minorEastAsia"/>
                <w:bCs/>
                <w:szCs w:val="21"/>
              </w:rPr>
              <w:t>4.</w:t>
            </w:r>
            <w:r>
              <w:rPr>
                <w:rFonts w:hint="eastAsia" w:cs="Times New Roman" w:asciiTheme="minorEastAsia" w:hAnsiTheme="minorEastAsia"/>
                <w:szCs w:val="21"/>
              </w:rPr>
              <w:t>调度人员应当积极收集反馈当日的气象及营运车辆途经道路的路况信息，当因气候恶劣</w:t>
            </w:r>
            <w:r>
              <w:rPr>
                <w:rFonts w:cs="Times New Roman" w:asciiTheme="minorEastAsia" w:hAnsiTheme="minorEastAsia"/>
                <w:szCs w:val="21"/>
              </w:rPr>
              <w:t>(</w:t>
            </w:r>
            <w:r>
              <w:rPr>
                <w:rFonts w:hint="eastAsia" w:cs="Times New Roman" w:asciiTheme="minorEastAsia" w:hAnsiTheme="minorEastAsia"/>
                <w:szCs w:val="21"/>
              </w:rPr>
              <w:t>暴风、暴雨、浓雾、大雪等</w:t>
            </w:r>
            <w:r>
              <w:rPr>
                <w:rFonts w:cs="Times New Roman" w:asciiTheme="minorEastAsia" w:hAnsiTheme="minorEastAsia"/>
                <w:szCs w:val="21"/>
              </w:rPr>
              <w:t>)</w:t>
            </w:r>
            <w:r>
              <w:rPr>
                <w:rFonts w:hint="eastAsia" w:cs="Times New Roman" w:asciiTheme="minorEastAsia" w:hAnsiTheme="minorEastAsia"/>
                <w:szCs w:val="21"/>
              </w:rPr>
              <w:t>能见度低50M，以及已知班车途经道路上出现塌方、路阻等原因不宜行车时，暂停安排该线路班车运行，并立即报告当日的值班站长和相关领导或部门，听从上级的统一安排</w:t>
            </w:r>
            <w:r>
              <w:rPr>
                <w:rFonts w:hint="eastAsia" w:cs="Times New Roman" w:asciiTheme="minorEastAsia" w:hAnsiTheme="minorEastAsia"/>
                <w:szCs w:val="21"/>
                <w:lang w:eastAsia="zh-CN"/>
              </w:rPr>
              <w:t>；</w:t>
            </w:r>
          </w:p>
          <w:p>
            <w:pPr>
              <w:adjustRightInd w:val="0"/>
              <w:snapToGrid w:val="0"/>
              <w:spacing w:line="300" w:lineRule="auto"/>
              <w:ind w:firstLine="360" w:firstLineChars="150"/>
              <w:rPr>
                <w:rFonts w:cs="Times New Roman" w:asciiTheme="minorEastAsia" w:hAnsiTheme="minorEastAsia"/>
                <w:szCs w:val="21"/>
              </w:rPr>
            </w:pPr>
            <w:r>
              <w:rPr>
                <w:rFonts w:hint="eastAsia" w:cs="Times New Roman" w:asciiTheme="minorEastAsia" w:hAnsiTheme="minorEastAsia"/>
                <w:szCs w:val="21"/>
              </w:rPr>
              <w:t>5.对营运手续不齐全、有效或安全例检不合格，以及相应资质不符合要求、未经交通运输行政主管部门确定到本站经营的客运车辆，调度人员有权拒绝该车报班参与经营，对强行装载旅客的坚决制止，并</w:t>
            </w:r>
            <w:r>
              <w:rPr>
                <w:rFonts w:hint="eastAsia" w:cs="宋体" w:asciiTheme="minorEastAsia" w:hAnsiTheme="minorEastAsia"/>
                <w:kern w:val="0"/>
                <w:szCs w:val="21"/>
              </w:rPr>
              <w:t>做好解释和说服工作，不听劝告仍滞留现场扰乱秩序的，立即报告值班站长和相关部门，以及道路运输管理机构采取相应措施。</w:t>
            </w:r>
          </w:p>
        </w:tc>
        <w:tc>
          <w:tcPr>
            <w:tcW w:w="1984" w:type="dxa"/>
            <w:vAlign w:val="center"/>
          </w:tcPr>
          <w:p>
            <w:pPr>
              <w:jc w:val="center"/>
              <w:rPr>
                <w:rFonts w:cs="方正粗黑宋简体" w:asciiTheme="minorEastAsia" w:hAnsiTheme="minorEastAsia"/>
                <w:bCs/>
                <w:szCs w:val="21"/>
              </w:rPr>
            </w:pPr>
          </w:p>
        </w:tc>
        <w:tc>
          <w:tcPr>
            <w:tcW w:w="1888" w:type="dxa"/>
            <w:vAlign w:val="center"/>
          </w:tcPr>
          <w:p>
            <w:pPr>
              <w:jc w:val="center"/>
              <w:rPr>
                <w:rFonts w:cs="方正粗黑宋简体"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23" w:type="dxa"/>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1219" w:type="dxa"/>
            <w:vAlign w:val="center"/>
          </w:tcPr>
          <w:p>
            <w:pPr>
              <w:jc w:val="center"/>
              <w:rPr>
                <w:rFonts w:cs="宋体" w:asciiTheme="minorEastAsia" w:hAnsiTheme="minorEastAsia"/>
                <w:szCs w:val="21"/>
              </w:rPr>
            </w:pPr>
            <w:r>
              <w:rPr>
                <w:rFonts w:hint="eastAsia" w:cs="宋体" w:asciiTheme="minorEastAsia" w:hAnsiTheme="minorEastAsia"/>
                <w:szCs w:val="21"/>
              </w:rPr>
              <w:t>危险品查堵</w:t>
            </w:r>
          </w:p>
        </w:tc>
        <w:tc>
          <w:tcPr>
            <w:tcW w:w="8565" w:type="dxa"/>
            <w:vAlign w:val="center"/>
          </w:tcPr>
          <w:p>
            <w:pPr>
              <w:adjustRightInd w:val="0"/>
              <w:snapToGrid w:val="0"/>
              <w:spacing w:line="300" w:lineRule="auto"/>
              <w:ind w:firstLine="360" w:firstLineChars="150"/>
              <w:rPr>
                <w:rFonts w:hint="eastAsia" w:asciiTheme="minorEastAsia" w:hAnsiTheme="minorEastAsia" w:eastAsiaTheme="minorEastAsia"/>
                <w:szCs w:val="21"/>
                <w:lang w:eastAsia="zh-CN"/>
              </w:rPr>
            </w:pPr>
            <w:r>
              <w:rPr>
                <w:rFonts w:hint="eastAsia" w:asciiTheme="minorEastAsia" w:hAnsiTheme="minorEastAsia"/>
                <w:szCs w:val="21"/>
              </w:rPr>
              <w:t>1.按照“逢包必检、逢液必查、遇疑开包”的规定，通过X光行包检查设备、金属探测仪或人工开包检查等方式，对旅客的随身行李、包裹和托运货物进行安全检查</w:t>
            </w:r>
            <w:r>
              <w:rPr>
                <w:rFonts w:hint="eastAsia" w:asciiTheme="minorEastAsia" w:hAnsiTheme="minorEastAsia"/>
                <w:szCs w:val="21"/>
                <w:lang w:eastAsia="zh-CN"/>
              </w:rPr>
              <w:t>；</w:t>
            </w:r>
          </w:p>
          <w:p>
            <w:pPr>
              <w:adjustRightInd w:val="0"/>
              <w:snapToGrid w:val="0"/>
              <w:spacing w:line="300" w:lineRule="auto"/>
              <w:ind w:firstLine="360" w:firstLineChars="150"/>
              <w:rPr>
                <w:rFonts w:hint="eastAsia" w:asciiTheme="minorEastAsia" w:hAnsiTheme="minorEastAsia" w:eastAsiaTheme="minorEastAsia"/>
                <w:szCs w:val="21"/>
                <w:lang w:eastAsia="zh-CN"/>
              </w:rPr>
            </w:pPr>
            <w:r>
              <w:rPr>
                <w:rFonts w:hint="eastAsia" w:asciiTheme="minorEastAsia" w:hAnsiTheme="minorEastAsia"/>
                <w:szCs w:val="21"/>
              </w:rPr>
              <w:t>2.“三品”检查岗实行三人一岗制，即：一人负责引导旅客有序的将随身行包放入安检机检查；一人负责对电子显示屏上显示的物品进行危险品辩识；一人负责观察物品出口，对可疑的行包或物品进行开包查验</w:t>
            </w:r>
            <w:r>
              <w:rPr>
                <w:rFonts w:hint="eastAsia" w:asciiTheme="minorEastAsia" w:hAnsiTheme="minorEastAsia"/>
                <w:szCs w:val="21"/>
                <w:lang w:eastAsia="zh-CN"/>
              </w:rPr>
              <w:t>；</w:t>
            </w:r>
          </w:p>
          <w:p>
            <w:pPr>
              <w:adjustRightInd w:val="0"/>
              <w:snapToGrid w:val="0"/>
              <w:spacing w:line="300" w:lineRule="auto"/>
              <w:ind w:firstLine="360" w:firstLineChars="150"/>
              <w:rPr>
                <w:rFonts w:hint="eastAsia" w:asciiTheme="minorEastAsia" w:hAnsiTheme="minorEastAsia" w:eastAsiaTheme="minorEastAsia"/>
                <w:szCs w:val="21"/>
                <w:lang w:eastAsia="zh-CN"/>
              </w:rPr>
            </w:pPr>
            <w:r>
              <w:rPr>
                <w:rFonts w:hint="eastAsia" w:asciiTheme="minorEastAsia" w:hAnsiTheme="minorEastAsia"/>
                <w:szCs w:val="21"/>
              </w:rPr>
              <w:t>3.检查人员对有疑问的行包或物品进行开包查验时，严格按照“一问、二看、三嗅、四摸、五开包”安全操作程序进行开包检查，有效防止危险物品进站上车或危及自身安全</w:t>
            </w:r>
            <w:r>
              <w:rPr>
                <w:rFonts w:hint="eastAsia" w:asciiTheme="minorEastAsia" w:hAnsiTheme="minorEastAsia"/>
                <w:szCs w:val="21"/>
                <w:lang w:eastAsia="zh-CN"/>
              </w:rPr>
              <w:t>；</w:t>
            </w:r>
          </w:p>
          <w:p>
            <w:pPr>
              <w:adjustRightInd w:val="0"/>
              <w:snapToGrid w:val="0"/>
              <w:spacing w:line="300" w:lineRule="auto"/>
              <w:ind w:firstLine="360" w:firstLineChars="150"/>
              <w:rPr>
                <w:rFonts w:hint="eastAsia" w:asciiTheme="minorEastAsia" w:hAnsiTheme="minorEastAsia" w:eastAsiaTheme="minorEastAsia"/>
                <w:szCs w:val="21"/>
                <w:lang w:eastAsia="zh-CN"/>
              </w:rPr>
            </w:pPr>
            <w:r>
              <w:rPr>
                <w:rFonts w:hint="eastAsia" w:asciiTheme="minorEastAsia" w:hAnsiTheme="minorEastAsia"/>
                <w:szCs w:val="21"/>
              </w:rPr>
              <w:t>4.查获的危险和管制物品应当如实填写《四川省汽车客运站三品检查登记表》，须要收缴或暂扣的物品，应当开具《危禁品收缴或暂扣通知书》并由检查人员和当事人双方签字确认，填写的各类表格等相关记录资料必须真实准确、内容全面、字迹清楚、签章完备，并保存备查，收缴或暂扣的物品必须妥善保管并及时上交</w:t>
            </w:r>
            <w:r>
              <w:rPr>
                <w:rFonts w:hint="eastAsia" w:asciiTheme="minorEastAsia" w:hAnsiTheme="minorEastAsia"/>
                <w:szCs w:val="21"/>
                <w:lang w:eastAsia="zh-CN"/>
              </w:rPr>
              <w:t>；</w:t>
            </w:r>
          </w:p>
          <w:p>
            <w:pPr>
              <w:adjustRightInd w:val="0"/>
              <w:snapToGrid w:val="0"/>
              <w:spacing w:line="300" w:lineRule="auto"/>
              <w:ind w:firstLine="360" w:firstLineChars="150"/>
              <w:rPr>
                <w:rFonts w:hint="eastAsia" w:asciiTheme="minorEastAsia" w:hAnsiTheme="minorEastAsia" w:eastAsiaTheme="minorEastAsia"/>
                <w:szCs w:val="21"/>
                <w:lang w:eastAsia="zh-CN"/>
              </w:rPr>
            </w:pPr>
            <w:r>
              <w:rPr>
                <w:rFonts w:hint="eastAsia" w:asciiTheme="minorEastAsia" w:hAnsiTheme="minorEastAsia"/>
                <w:szCs w:val="21"/>
              </w:rPr>
              <w:t>5.检查人员应当维护好检查通道的秩序，做好检查点区域的安全管理及个人的安全防护措施，有效开展</w:t>
            </w:r>
            <w:r>
              <w:rPr>
                <w:rFonts w:hint="eastAsia" w:cs="宋体" w:asciiTheme="minorEastAsia" w:hAnsiTheme="minorEastAsia"/>
                <w:kern w:val="0"/>
                <w:szCs w:val="21"/>
              </w:rPr>
              <w:t>“三品”检查工作的宣传；同时，</w:t>
            </w:r>
            <w:r>
              <w:rPr>
                <w:rFonts w:hint="eastAsia" w:asciiTheme="minorEastAsia" w:hAnsiTheme="minorEastAsia"/>
                <w:szCs w:val="21"/>
              </w:rPr>
              <w:t>爱护机具设备，保持机具设备的正常运转，每日下班后准确统计好当班的检查工作数据</w:t>
            </w:r>
            <w:r>
              <w:rPr>
                <w:rFonts w:hint="eastAsia" w:asciiTheme="minorEastAsia" w:hAnsiTheme="minorEastAsia"/>
                <w:szCs w:val="21"/>
                <w:lang w:eastAsia="zh-CN"/>
              </w:rPr>
              <w:t>；</w:t>
            </w:r>
          </w:p>
          <w:p>
            <w:pPr>
              <w:adjustRightInd w:val="0"/>
              <w:snapToGrid w:val="0"/>
              <w:spacing w:line="300" w:lineRule="auto"/>
              <w:ind w:firstLine="360" w:firstLineChars="150"/>
              <w:rPr>
                <w:rFonts w:cs="宋体" w:asciiTheme="minorEastAsia" w:hAnsiTheme="minorEastAsia"/>
                <w:kern w:val="0"/>
                <w:szCs w:val="21"/>
              </w:rPr>
            </w:pPr>
            <w:r>
              <w:rPr>
                <w:rFonts w:hint="eastAsia" w:asciiTheme="minorEastAsia" w:hAnsiTheme="minorEastAsia"/>
                <w:szCs w:val="21"/>
              </w:rPr>
              <w:t>6.当旅</w:t>
            </w:r>
            <w:r>
              <w:rPr>
                <w:rFonts w:hint="eastAsia" w:cs="宋体" w:asciiTheme="minorEastAsia" w:hAnsiTheme="minorEastAsia"/>
                <w:kern w:val="0"/>
                <w:szCs w:val="21"/>
              </w:rPr>
              <w:t>客不配合“三品”检查时，检查人员应当做好解释和说服工作，经劝告仍不接受检查的，检查人员有权拒绝该旅客进站。经劝阻无效，仍滞留现场扰乱秩序或强行进站的，应当在坚决制止该旅客进站的同时，立即报告相关部门和当日值班站长，以及公安机关采取相应的处置措施。</w:t>
            </w:r>
          </w:p>
          <w:p>
            <w:pPr>
              <w:adjustRightInd w:val="0"/>
              <w:snapToGrid w:val="0"/>
              <w:spacing w:line="300" w:lineRule="auto"/>
              <w:ind w:firstLine="360" w:firstLineChars="150"/>
              <w:rPr>
                <w:rFonts w:asciiTheme="minorEastAsia" w:hAnsiTheme="minorEastAsia"/>
                <w:szCs w:val="21"/>
              </w:rPr>
            </w:pPr>
          </w:p>
        </w:tc>
        <w:tc>
          <w:tcPr>
            <w:tcW w:w="1984" w:type="dxa"/>
            <w:vAlign w:val="center"/>
          </w:tcPr>
          <w:p>
            <w:pPr>
              <w:jc w:val="center"/>
              <w:rPr>
                <w:rFonts w:cs="方正粗黑宋简体" w:asciiTheme="minorEastAsia" w:hAnsiTheme="minorEastAsia"/>
                <w:bCs/>
                <w:szCs w:val="21"/>
              </w:rPr>
            </w:pPr>
          </w:p>
        </w:tc>
        <w:tc>
          <w:tcPr>
            <w:tcW w:w="1888" w:type="dxa"/>
            <w:vAlign w:val="center"/>
          </w:tcPr>
          <w:p>
            <w:pPr>
              <w:jc w:val="center"/>
              <w:rPr>
                <w:rFonts w:cs="方正粗黑宋简体" w:asciiTheme="minorEastAsia" w:hAnsiTheme="minorEastAsia"/>
                <w:bCs/>
                <w:szCs w:val="21"/>
              </w:rPr>
            </w:pPr>
          </w:p>
        </w:tc>
      </w:tr>
    </w:tbl>
    <w:p>
      <w:pPr>
        <w:pStyle w:val="1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1E9F038E"/>
    <w:rsid w:val="093277A9"/>
    <w:rsid w:val="0C00517C"/>
    <w:rsid w:val="0DEA1EA6"/>
    <w:rsid w:val="1BD80837"/>
    <w:rsid w:val="1C7F2A05"/>
    <w:rsid w:val="1D222E46"/>
    <w:rsid w:val="1E9F038E"/>
    <w:rsid w:val="269B0465"/>
    <w:rsid w:val="2DD907B5"/>
    <w:rsid w:val="332858D5"/>
    <w:rsid w:val="341C3FDE"/>
    <w:rsid w:val="37014E1F"/>
    <w:rsid w:val="39410733"/>
    <w:rsid w:val="3DA76CDD"/>
    <w:rsid w:val="4020549C"/>
    <w:rsid w:val="41302AFE"/>
    <w:rsid w:val="460348D1"/>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uiPriority w:val="0"/>
    <w:rPr>
      <w:rFonts w:ascii="Calibri" w:hAnsi="Calibri" w:eastAsia="宋体"/>
      <w:sz w:val="24"/>
    </w:rPr>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18</Characters>
  <Lines>0</Lines>
  <Paragraphs>0</Paragraphs>
  <TotalTime>18</TotalTime>
  <ScaleCrop>false</ScaleCrop>
  <LinksUpToDate>false</LinksUpToDate>
  <CharactersWithSpaces>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2023-03-03T01:19:00Z</dcterms:created>
  <dc:creator>孙瑞</dc:creator>
  <cp:lastModifiedBy>孙瑞</cp:lastModifiedBy>
  <dcterms:modified xsi:type="dcterms:W3CDTF">2023-03-03T01:38:13Z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6A37A01C195E4191A599BD7195966F4B</vt:lpwstr>
  </property>
</Properties>
</file>