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color w:val="000000"/>
          <w:szCs w:val="32"/>
        </w:rPr>
      </w:pPr>
      <w:r>
        <w:rPr>
          <w:rFonts w:eastAsia="方正小标宋简体"/>
          <w:color w:val="000000"/>
          <w:szCs w:val="32"/>
        </w:rPr>
        <w:t>重大安全风险管控清</w:t>
      </w:r>
    </w:p>
    <w:p>
      <w:pPr>
        <w:spacing w:line="300" w:lineRule="exact"/>
        <w:ind w:firstLine="480" w:firstLineChars="200"/>
        <w:rPr>
          <w:rFonts w:ascii="方正仿宋_GBK" w:eastAsia="方正仿宋_GBK"/>
          <w:color w:val="000000"/>
          <w:sz w:val="24"/>
        </w:rPr>
      </w:pPr>
      <w:r>
        <w:rPr>
          <w:rFonts w:hint="eastAsia" w:ascii="方正仿宋_GBK" w:eastAsia="方正仿宋_GBK"/>
          <w:color w:val="000000"/>
          <w:sz w:val="24"/>
        </w:rPr>
        <w:t>企业应在全面分析设备设施、作业活动安全风险的基础上，确定出重大风险点。重大风险点至少应包含如下内容：（1）构成重大危险源的场所和设施；（2）涉及重点监管的工艺环节和装置；（3）涉及生产、储存、暂存民用爆炸物品的场所和设施；（4）作业人数3人（含）以上的可能发生群死群伤事故的其他情形；（5）涉及有毒有害化学品的场所和设施；（6）涉及易燃、易爆、有毒场所的受限空间作业和动火作业。企业应明确重大风险点关键控制指标，明确隐患排查治理各环节工作责任人，并制定关键管控措施落实到岗位，并参照如下模板范例编制《重大安全风险点清单》和《重大安全风险管控清单》。</w:t>
      </w:r>
    </w:p>
    <w:p>
      <w:pPr>
        <w:jc w:val="center"/>
        <w:rPr>
          <w:rFonts w:eastAsia="黑体"/>
          <w:color w:val="000000"/>
          <w:kern w:val="0"/>
          <w:sz w:val="30"/>
          <w:szCs w:val="30"/>
        </w:rPr>
      </w:pPr>
      <w:r>
        <w:rPr>
          <w:rFonts w:eastAsia="黑体"/>
          <w:color w:val="000000"/>
          <w:kern w:val="0"/>
          <w:sz w:val="30"/>
          <w:szCs w:val="30"/>
        </w:rPr>
        <w:t>2-1 某企业重大安全风险点清单（示例）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337"/>
        <w:gridCol w:w="3260"/>
        <w:gridCol w:w="3334"/>
        <w:gridCol w:w="777"/>
        <w:gridCol w:w="810"/>
        <w:gridCol w:w="749"/>
        <w:gridCol w:w="709"/>
        <w:gridCol w:w="75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5" w:type="dxa"/>
            <w:vMerge w:val="restart"/>
            <w:shd w:val="clear" w:color="auto" w:fill="auto"/>
            <w:vAlign w:val="center"/>
          </w:tcPr>
          <w:p>
            <w:pPr>
              <w:jc w:val="center"/>
              <w:rPr>
                <w:rFonts w:eastAsia="黑体"/>
                <w:color w:val="000000"/>
                <w:kern w:val="0"/>
                <w:sz w:val="24"/>
              </w:rPr>
            </w:pPr>
            <w:r>
              <w:rPr>
                <w:rFonts w:eastAsia="黑体"/>
                <w:color w:val="000000"/>
                <w:kern w:val="0"/>
                <w:sz w:val="24"/>
              </w:rPr>
              <w:t>风险点名称</w:t>
            </w:r>
          </w:p>
        </w:tc>
        <w:tc>
          <w:tcPr>
            <w:tcW w:w="1337" w:type="dxa"/>
            <w:vMerge w:val="restart"/>
            <w:shd w:val="clear" w:color="auto" w:fill="auto"/>
            <w:vAlign w:val="center"/>
          </w:tcPr>
          <w:p>
            <w:pPr>
              <w:jc w:val="center"/>
              <w:rPr>
                <w:rFonts w:eastAsia="黑体"/>
                <w:color w:val="000000"/>
                <w:kern w:val="0"/>
                <w:sz w:val="24"/>
              </w:rPr>
            </w:pPr>
            <w:r>
              <w:rPr>
                <w:rFonts w:hint="eastAsia" w:eastAsia="黑体"/>
                <w:color w:val="000000"/>
                <w:kern w:val="0"/>
                <w:sz w:val="24"/>
              </w:rPr>
              <w:t>风险部位/环节</w:t>
            </w:r>
          </w:p>
        </w:tc>
        <w:tc>
          <w:tcPr>
            <w:tcW w:w="3260" w:type="dxa"/>
            <w:vMerge w:val="restart"/>
            <w:shd w:val="clear" w:color="auto" w:fill="auto"/>
            <w:vAlign w:val="center"/>
          </w:tcPr>
          <w:p>
            <w:pPr>
              <w:jc w:val="center"/>
              <w:rPr>
                <w:rFonts w:eastAsia="黑体"/>
                <w:color w:val="000000"/>
                <w:kern w:val="0"/>
                <w:sz w:val="24"/>
              </w:rPr>
            </w:pPr>
            <w:r>
              <w:rPr>
                <w:rFonts w:eastAsia="黑体"/>
                <w:color w:val="000000"/>
                <w:kern w:val="0"/>
                <w:sz w:val="24"/>
              </w:rPr>
              <w:t>主要风险概述</w:t>
            </w:r>
          </w:p>
        </w:tc>
        <w:tc>
          <w:tcPr>
            <w:tcW w:w="3334" w:type="dxa"/>
            <w:vMerge w:val="restart"/>
            <w:shd w:val="clear" w:color="auto" w:fill="auto"/>
            <w:vAlign w:val="center"/>
          </w:tcPr>
          <w:p>
            <w:pPr>
              <w:jc w:val="center"/>
              <w:rPr>
                <w:rFonts w:eastAsia="黑体"/>
                <w:color w:val="000000"/>
                <w:kern w:val="0"/>
                <w:sz w:val="24"/>
              </w:rPr>
            </w:pPr>
            <w:r>
              <w:rPr>
                <w:rFonts w:eastAsia="黑体"/>
                <w:color w:val="000000"/>
                <w:kern w:val="0"/>
                <w:sz w:val="24"/>
              </w:rPr>
              <w:t>关键控制指标</w:t>
            </w:r>
          </w:p>
        </w:tc>
        <w:tc>
          <w:tcPr>
            <w:tcW w:w="3802" w:type="dxa"/>
            <w:gridSpan w:val="5"/>
            <w:shd w:val="clear" w:color="auto" w:fill="auto"/>
            <w:vAlign w:val="center"/>
          </w:tcPr>
          <w:p>
            <w:pPr>
              <w:jc w:val="center"/>
              <w:rPr>
                <w:rFonts w:eastAsia="黑体"/>
                <w:color w:val="000000"/>
                <w:kern w:val="0"/>
                <w:sz w:val="24"/>
              </w:rPr>
            </w:pPr>
            <w:r>
              <w:rPr>
                <w:rFonts w:eastAsia="黑体"/>
                <w:color w:val="000000"/>
                <w:kern w:val="0"/>
                <w:sz w:val="24"/>
              </w:rPr>
              <w:t>责任</w:t>
            </w:r>
            <w:r>
              <w:rPr>
                <w:rFonts w:hint="eastAsia" w:eastAsia="黑体"/>
                <w:color w:val="000000"/>
                <w:kern w:val="0"/>
                <w:sz w:val="24"/>
              </w:rPr>
              <w:t>人</w:t>
            </w:r>
          </w:p>
        </w:tc>
        <w:tc>
          <w:tcPr>
            <w:tcW w:w="1685" w:type="dxa"/>
            <w:vMerge w:val="restart"/>
            <w:shd w:val="clear" w:color="auto" w:fill="auto"/>
            <w:vAlign w:val="center"/>
          </w:tcPr>
          <w:p>
            <w:pPr>
              <w:jc w:val="center"/>
              <w:rPr>
                <w:rFonts w:eastAsia="黑体"/>
                <w:color w:val="000000"/>
                <w:kern w:val="0"/>
                <w:sz w:val="24"/>
              </w:rPr>
            </w:pPr>
            <w:r>
              <w:rPr>
                <w:rFonts w:eastAsia="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65" w:type="dxa"/>
            <w:vMerge w:val="continue"/>
            <w:shd w:val="clear" w:color="auto" w:fill="auto"/>
            <w:vAlign w:val="center"/>
          </w:tcPr>
          <w:p/>
        </w:tc>
        <w:tc>
          <w:tcPr>
            <w:tcW w:w="1337" w:type="dxa"/>
            <w:vMerge w:val="continue"/>
            <w:shd w:val="clear" w:color="auto" w:fill="auto"/>
            <w:vAlign w:val="center"/>
          </w:tcPr>
          <w:p/>
        </w:tc>
        <w:tc>
          <w:tcPr>
            <w:tcW w:w="3260" w:type="dxa"/>
            <w:vMerge w:val="continue"/>
            <w:shd w:val="clear" w:color="auto" w:fill="auto"/>
            <w:vAlign w:val="center"/>
          </w:tcPr>
          <w:p/>
        </w:tc>
        <w:tc>
          <w:tcPr>
            <w:tcW w:w="3334" w:type="dxa"/>
            <w:vMerge w:val="continue"/>
            <w:shd w:val="clear" w:color="auto" w:fill="auto"/>
            <w:vAlign w:val="center"/>
          </w:tcPr>
          <w:p/>
        </w:tc>
        <w:tc>
          <w:tcPr>
            <w:tcW w:w="777" w:type="dxa"/>
            <w:shd w:val="clear" w:color="auto" w:fill="auto"/>
            <w:vAlign w:val="center"/>
          </w:tcPr>
          <w:p>
            <w:pPr>
              <w:jc w:val="center"/>
              <w:rPr>
                <w:rFonts w:eastAsia="黑体"/>
                <w:color w:val="000000"/>
                <w:kern w:val="0"/>
                <w:sz w:val="24"/>
              </w:rPr>
            </w:pPr>
            <w:r>
              <w:rPr>
                <w:rFonts w:hint="eastAsia" w:eastAsia="黑体"/>
                <w:color w:val="000000"/>
                <w:kern w:val="0"/>
                <w:sz w:val="24"/>
              </w:rPr>
              <w:t>操作</w:t>
            </w:r>
          </w:p>
        </w:tc>
        <w:tc>
          <w:tcPr>
            <w:tcW w:w="810" w:type="dxa"/>
            <w:shd w:val="clear" w:color="auto" w:fill="auto"/>
            <w:vAlign w:val="center"/>
          </w:tcPr>
          <w:p>
            <w:pPr>
              <w:jc w:val="center"/>
              <w:rPr>
                <w:rFonts w:eastAsia="黑体"/>
                <w:color w:val="000000"/>
                <w:kern w:val="0"/>
                <w:sz w:val="24"/>
              </w:rPr>
            </w:pPr>
            <w:r>
              <w:rPr>
                <w:rFonts w:hint="eastAsia" w:eastAsia="黑体"/>
                <w:color w:val="000000"/>
                <w:kern w:val="0"/>
                <w:sz w:val="24"/>
              </w:rPr>
              <w:t>操作监督</w:t>
            </w:r>
          </w:p>
        </w:tc>
        <w:tc>
          <w:tcPr>
            <w:tcW w:w="749" w:type="dxa"/>
            <w:shd w:val="clear" w:color="auto" w:fill="auto"/>
            <w:vAlign w:val="center"/>
          </w:tcPr>
          <w:p>
            <w:pPr>
              <w:jc w:val="center"/>
              <w:rPr>
                <w:rFonts w:eastAsia="黑体"/>
                <w:color w:val="000000"/>
                <w:kern w:val="0"/>
                <w:sz w:val="24"/>
              </w:rPr>
            </w:pPr>
            <w:r>
              <w:rPr>
                <w:rFonts w:hint="eastAsia" w:eastAsia="黑体"/>
                <w:color w:val="000000"/>
                <w:kern w:val="0"/>
                <w:sz w:val="24"/>
              </w:rPr>
              <w:t>部位检查</w:t>
            </w:r>
          </w:p>
        </w:tc>
        <w:tc>
          <w:tcPr>
            <w:tcW w:w="709" w:type="dxa"/>
            <w:shd w:val="clear" w:color="auto" w:fill="auto"/>
            <w:vAlign w:val="center"/>
          </w:tcPr>
          <w:p>
            <w:pPr>
              <w:jc w:val="center"/>
              <w:rPr>
                <w:rFonts w:eastAsia="黑体"/>
                <w:color w:val="000000"/>
                <w:kern w:val="0"/>
                <w:sz w:val="24"/>
              </w:rPr>
            </w:pPr>
            <w:r>
              <w:rPr>
                <w:rFonts w:hint="eastAsia" w:eastAsia="黑体"/>
                <w:color w:val="000000"/>
                <w:kern w:val="0"/>
                <w:sz w:val="24"/>
              </w:rPr>
              <w:t>隐患记录</w:t>
            </w:r>
          </w:p>
        </w:tc>
        <w:tc>
          <w:tcPr>
            <w:tcW w:w="757" w:type="dxa"/>
            <w:shd w:val="clear" w:color="auto" w:fill="auto"/>
            <w:vAlign w:val="center"/>
          </w:tcPr>
          <w:p>
            <w:pPr>
              <w:jc w:val="center"/>
              <w:rPr>
                <w:rFonts w:eastAsia="黑体"/>
                <w:color w:val="000000"/>
                <w:kern w:val="0"/>
                <w:sz w:val="24"/>
              </w:rPr>
            </w:pPr>
            <w:r>
              <w:rPr>
                <w:rFonts w:hint="eastAsia" w:eastAsia="黑体"/>
                <w:color w:val="000000"/>
                <w:kern w:val="0"/>
                <w:sz w:val="24"/>
              </w:rPr>
              <w:t>条件保障</w:t>
            </w:r>
          </w:p>
        </w:tc>
        <w:tc>
          <w:tcPr>
            <w:tcW w:w="1685"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65" w:type="dxa"/>
            <w:vMerge w:val="restart"/>
            <w:shd w:val="clear" w:color="auto" w:fill="auto"/>
            <w:vAlign w:val="center"/>
          </w:tcPr>
          <w:p>
            <w:pPr>
              <w:jc w:val="center"/>
              <w:rPr>
                <w:rFonts w:ascii="方正仿宋_GBK" w:eastAsia="方正仿宋_GBK"/>
                <w:color w:val="000000"/>
                <w:sz w:val="24"/>
              </w:rPr>
            </w:pPr>
            <w:r>
              <w:rPr>
                <w:rFonts w:hint="eastAsia" w:ascii="方正仿宋_GBK" w:eastAsia="方正仿宋_GBK"/>
                <w:color w:val="000000"/>
                <w:sz w:val="24"/>
              </w:rPr>
              <w:t>制药工房</w:t>
            </w:r>
          </w:p>
          <w:p>
            <w:pPr>
              <w:jc w:val="center"/>
              <w:rPr>
                <w:rFonts w:ascii="方正仿宋_GBK" w:eastAsia="方正仿宋_GBK"/>
                <w:color w:val="000000"/>
                <w:sz w:val="24"/>
              </w:rPr>
            </w:pPr>
            <w:r>
              <w:rPr>
                <w:rFonts w:hint="eastAsia" w:ascii="方正仿宋_GBK" w:eastAsia="方正仿宋_GBK"/>
                <w:color w:val="000000"/>
                <w:kern w:val="0"/>
                <w:sz w:val="24"/>
              </w:rPr>
              <w:t>......</w:t>
            </w:r>
          </w:p>
        </w:tc>
        <w:tc>
          <w:tcPr>
            <w:tcW w:w="1337" w:type="dxa"/>
            <w:shd w:val="clear" w:color="auto" w:fill="auto"/>
            <w:vAlign w:val="center"/>
          </w:tcPr>
          <w:p>
            <w:pPr>
              <w:spacing w:line="300" w:lineRule="exact"/>
              <w:jc w:val="center"/>
              <w:rPr>
                <w:rFonts w:ascii="方正仿宋_GBK" w:eastAsia="方正仿宋_GBK"/>
                <w:color w:val="000000"/>
                <w:sz w:val="24"/>
              </w:rPr>
            </w:pPr>
            <w:r>
              <w:rPr>
                <w:rFonts w:hint="eastAsia" w:ascii="方正仿宋_GBK" w:eastAsia="方正仿宋_GBK"/>
                <w:color w:val="000000"/>
                <w:sz w:val="24"/>
              </w:rPr>
              <w:t>基质泵及静态敏化器</w:t>
            </w:r>
          </w:p>
        </w:tc>
        <w:tc>
          <w:tcPr>
            <w:tcW w:w="3260" w:type="dxa"/>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基质泵超温超压运行、长时间空转，泵内进入金属杂质，设备接地不规范，违章维修，系统控制失控，人员操作不当等引发爆炸事故。</w:t>
            </w:r>
          </w:p>
        </w:tc>
        <w:tc>
          <w:tcPr>
            <w:tcW w:w="3334" w:type="dxa"/>
            <w:shd w:val="clear" w:color="auto" w:fill="auto"/>
            <w:vAlign w:val="center"/>
          </w:tcPr>
          <w:p>
            <w:pPr>
              <w:adjustRightInd w:val="0"/>
              <w:snapToGrid w:val="0"/>
              <w:spacing w:line="300" w:lineRule="exact"/>
              <w:jc w:val="left"/>
              <w:rPr>
                <w:rStyle w:val="14"/>
                <w:rFonts w:ascii="方正仿宋_GBK" w:eastAsia="方正仿宋_GBK"/>
              </w:rPr>
            </w:pPr>
            <w:r>
              <w:rPr>
                <w:rStyle w:val="14"/>
                <w:rFonts w:hint="eastAsia" w:ascii="方正仿宋_GBK" w:eastAsia="方正仿宋_GBK"/>
              </w:rPr>
              <w:t>1.XX</w:t>
            </w:r>
            <w:r>
              <w:rPr>
                <w:rStyle w:val="14"/>
                <w:rFonts w:hint="eastAsia" w:ascii="方正仿宋_GBK" w:eastAsia="方正仿宋_GBK" w:cs="宋体"/>
              </w:rPr>
              <w:t>℃</w:t>
            </w:r>
            <w:r>
              <w:rPr>
                <w:rStyle w:val="15"/>
                <w:rFonts w:hint="eastAsia" w:ascii="方正仿宋_GBK" w:eastAsia="方正仿宋_GBK"/>
              </w:rPr>
              <w:t>＜敏化温度＜</w:t>
            </w:r>
            <w:r>
              <w:rPr>
                <w:rStyle w:val="14"/>
                <w:rFonts w:hint="eastAsia" w:ascii="方正仿宋_GBK" w:eastAsia="方正仿宋_GBK"/>
              </w:rPr>
              <w:t>XX</w:t>
            </w:r>
            <w:r>
              <w:rPr>
                <w:rStyle w:val="14"/>
                <w:rFonts w:hint="eastAsia" w:ascii="方正仿宋_GBK" w:eastAsia="方正仿宋_GBK" w:cs="宋体"/>
              </w:rPr>
              <w:t>℃</w:t>
            </w:r>
          </w:p>
          <w:p>
            <w:pPr>
              <w:adjustRightInd w:val="0"/>
              <w:snapToGrid w:val="0"/>
              <w:spacing w:line="300" w:lineRule="exact"/>
              <w:jc w:val="left"/>
              <w:rPr>
                <w:rFonts w:ascii="方正仿宋_GBK" w:eastAsia="方正仿宋_GBK"/>
                <w:color w:val="000000"/>
                <w:sz w:val="24"/>
              </w:rPr>
            </w:pPr>
            <w:r>
              <w:rPr>
                <w:rStyle w:val="14"/>
                <w:rFonts w:hint="eastAsia" w:ascii="方正仿宋_GBK" w:eastAsia="方正仿宋_GBK"/>
              </w:rPr>
              <w:t>2.XX MPa</w:t>
            </w:r>
            <w:r>
              <w:rPr>
                <w:rStyle w:val="15"/>
                <w:rFonts w:hint="eastAsia" w:ascii="方正仿宋_GBK" w:eastAsia="方正仿宋_GBK"/>
              </w:rPr>
              <w:t>＜螺杆泵出口压力＜</w:t>
            </w:r>
            <w:r>
              <w:rPr>
                <w:rStyle w:val="14"/>
                <w:rFonts w:hint="eastAsia" w:ascii="方正仿宋_GBK" w:eastAsia="方正仿宋_GBK"/>
              </w:rPr>
              <w:t>XX MPa</w:t>
            </w:r>
          </w:p>
          <w:p>
            <w:pPr>
              <w:adjustRightInd w:val="0"/>
              <w:snapToGrid w:val="0"/>
              <w:spacing w:line="300" w:lineRule="exact"/>
              <w:jc w:val="left"/>
              <w:rPr>
                <w:rFonts w:ascii="方正仿宋_GBK" w:eastAsia="方正仿宋_GBK"/>
                <w:color w:val="000000"/>
                <w:kern w:val="0"/>
                <w:sz w:val="24"/>
              </w:rPr>
            </w:pPr>
            <w:r>
              <w:rPr>
                <w:rFonts w:hint="eastAsia" w:ascii="方正仿宋_GBK" w:eastAsia="方正仿宋_GBK"/>
                <w:color w:val="000000"/>
                <w:sz w:val="24"/>
              </w:rPr>
              <w:t>......</w:t>
            </w:r>
          </w:p>
        </w:tc>
        <w:tc>
          <w:tcPr>
            <w:tcW w:w="77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810"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4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0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5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1685" w:type="dxa"/>
            <w:shd w:val="clear" w:color="auto" w:fill="auto"/>
            <w:vAlign w:val="center"/>
          </w:tcPr>
          <w:p>
            <w:pPr>
              <w:spacing w:line="300" w:lineRule="exact"/>
              <w:rPr>
                <w:rFonts w:ascii="方正仿宋_GBK" w:eastAsia="方正仿宋_GBK"/>
                <w:color w:val="000000"/>
                <w:kern w:val="0"/>
                <w:sz w:val="24"/>
              </w:rPr>
            </w:pPr>
            <w:r>
              <w:rPr>
                <w:rFonts w:hint="eastAsia" w:ascii="方正仿宋_GBK" w:eastAsia="方正仿宋_GBK"/>
                <w:color w:val="000000"/>
                <w:kern w:val="0"/>
                <w:sz w:val="24"/>
              </w:rPr>
              <w:t>《静态敏化器重大安全风险管控清单》见表2-3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65" w:type="dxa"/>
            <w:vMerge w:val="continue"/>
            <w:shd w:val="clear" w:color="auto" w:fill="auto"/>
            <w:vAlign w:val="center"/>
          </w:tcPr>
          <w:p/>
        </w:tc>
        <w:tc>
          <w:tcPr>
            <w:tcW w:w="1337" w:type="dxa"/>
            <w:shd w:val="clear" w:color="auto" w:fill="auto"/>
            <w:vAlign w:val="center"/>
          </w:tcPr>
          <w:p>
            <w:pPr>
              <w:spacing w:line="300" w:lineRule="exact"/>
              <w:jc w:val="center"/>
              <w:rPr>
                <w:rFonts w:ascii="方正仿宋_GBK" w:eastAsia="方正仿宋_GBK"/>
                <w:color w:val="000000"/>
                <w:sz w:val="24"/>
              </w:rPr>
            </w:pPr>
            <w:r>
              <w:rPr>
                <w:rFonts w:hint="eastAsia" w:ascii="方正仿宋_GBK" w:eastAsia="方正仿宋_GBK"/>
                <w:color w:val="000000"/>
                <w:kern w:val="0"/>
                <w:sz w:val="24"/>
              </w:rPr>
              <w:t>基质泵送及精乳器</w:t>
            </w:r>
          </w:p>
        </w:tc>
        <w:tc>
          <w:tcPr>
            <w:tcW w:w="3260" w:type="dxa"/>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泵超温超压运行、长时间空转，泵内进入金属杂质，压力、轴振动偏差检测装置失真或连锁失灵，违章维修，引发爆炸事故。</w:t>
            </w:r>
          </w:p>
        </w:tc>
        <w:tc>
          <w:tcPr>
            <w:tcW w:w="3334" w:type="dxa"/>
            <w:shd w:val="clear" w:color="auto" w:fill="auto"/>
            <w:vAlign w:val="center"/>
          </w:tcPr>
          <w:p>
            <w:pPr>
              <w:adjustRightInd w:val="0"/>
              <w:snapToGrid w:val="0"/>
              <w:spacing w:line="240" w:lineRule="exact"/>
              <w:jc w:val="left"/>
              <w:rPr>
                <w:rStyle w:val="14"/>
                <w:rFonts w:ascii="方正仿宋_GBK" w:eastAsia="方正仿宋_GBK"/>
              </w:rPr>
            </w:pPr>
            <w:r>
              <w:rPr>
                <w:rStyle w:val="14"/>
                <w:rFonts w:hint="eastAsia" w:ascii="方正仿宋_GBK" w:eastAsia="方正仿宋_GBK"/>
              </w:rPr>
              <w:t>1.XX</w:t>
            </w:r>
            <w:r>
              <w:rPr>
                <w:rStyle w:val="14"/>
                <w:rFonts w:hint="eastAsia" w:ascii="方正仿宋_GBK" w:eastAsia="方正仿宋_GBK" w:cs="宋体"/>
              </w:rPr>
              <w:t>℃</w:t>
            </w:r>
            <w:r>
              <w:rPr>
                <w:rStyle w:val="15"/>
                <w:rFonts w:hint="eastAsia" w:ascii="方正仿宋_GBK" w:eastAsia="方正仿宋_GBK"/>
              </w:rPr>
              <w:t>＜精乳器出口温度＜</w:t>
            </w:r>
            <w:r>
              <w:rPr>
                <w:rStyle w:val="14"/>
                <w:rFonts w:hint="eastAsia" w:ascii="方正仿宋_GBK" w:eastAsia="方正仿宋_GBK"/>
              </w:rPr>
              <w:t>XX</w:t>
            </w:r>
            <w:r>
              <w:rPr>
                <w:rStyle w:val="14"/>
                <w:rFonts w:hint="eastAsia" w:ascii="方正仿宋_GBK" w:eastAsia="方正仿宋_GBK" w:cs="宋体"/>
              </w:rPr>
              <w:t>℃</w:t>
            </w:r>
          </w:p>
          <w:p>
            <w:pPr>
              <w:adjustRightInd w:val="0"/>
              <w:snapToGrid w:val="0"/>
              <w:spacing w:line="240" w:lineRule="exact"/>
              <w:jc w:val="left"/>
              <w:rPr>
                <w:rStyle w:val="14"/>
                <w:rFonts w:ascii="方正仿宋_GBK" w:eastAsia="方正仿宋_GBK"/>
              </w:rPr>
            </w:pPr>
            <w:r>
              <w:rPr>
                <w:rStyle w:val="14"/>
                <w:rFonts w:hint="eastAsia" w:ascii="方正仿宋_GBK" w:eastAsia="方正仿宋_GBK"/>
              </w:rPr>
              <w:t>2.XX MPa</w:t>
            </w:r>
            <w:r>
              <w:rPr>
                <w:rStyle w:val="15"/>
                <w:rFonts w:hint="eastAsia" w:ascii="方正仿宋_GBK" w:eastAsia="方正仿宋_GBK"/>
              </w:rPr>
              <w:t>＜螺杆泵出口压力＜</w:t>
            </w:r>
            <w:r>
              <w:rPr>
                <w:rStyle w:val="14"/>
                <w:rFonts w:hint="eastAsia" w:ascii="方正仿宋_GBK" w:eastAsia="方正仿宋_GBK"/>
              </w:rPr>
              <w:t>XX MPa</w:t>
            </w:r>
          </w:p>
          <w:p>
            <w:pPr>
              <w:adjustRightInd w:val="0"/>
              <w:snapToGrid w:val="0"/>
              <w:spacing w:line="240" w:lineRule="exact"/>
              <w:jc w:val="left"/>
              <w:rPr>
                <w:rFonts w:ascii="方正仿宋_GBK" w:eastAsia="方正仿宋_GBK"/>
                <w:color w:val="000000"/>
                <w:sz w:val="24"/>
              </w:rPr>
            </w:pPr>
            <w:r>
              <w:rPr>
                <w:rStyle w:val="14"/>
                <w:rFonts w:hint="eastAsia" w:ascii="方正仿宋_GBK" w:eastAsia="方正仿宋_GBK"/>
              </w:rPr>
              <w:t>3. XX mm</w:t>
            </w:r>
            <w:r>
              <w:rPr>
                <w:rStyle w:val="15"/>
                <w:rFonts w:hint="eastAsia" w:ascii="方正仿宋_GBK" w:eastAsia="方正仿宋_GBK"/>
              </w:rPr>
              <w:t>＜轴振动偏差＜</w:t>
            </w:r>
            <w:r>
              <w:rPr>
                <w:rStyle w:val="14"/>
                <w:rFonts w:hint="eastAsia" w:ascii="方正仿宋_GBK" w:eastAsia="方正仿宋_GBK"/>
              </w:rPr>
              <w:t>XXmm</w:t>
            </w:r>
          </w:p>
          <w:p>
            <w:pPr>
              <w:adjustRightInd w:val="0"/>
              <w:snapToGrid w:val="0"/>
              <w:spacing w:line="240" w:lineRule="exact"/>
              <w:jc w:val="left"/>
              <w:rPr>
                <w:rStyle w:val="14"/>
                <w:rFonts w:ascii="方正仿宋_GBK" w:eastAsia="方正仿宋_GBK"/>
              </w:rPr>
            </w:pPr>
            <w:r>
              <w:rPr>
                <w:rFonts w:hint="eastAsia" w:ascii="方正仿宋_GBK" w:eastAsia="方正仿宋_GBK"/>
                <w:color w:val="000000"/>
                <w:sz w:val="24"/>
              </w:rPr>
              <w:t>............</w:t>
            </w:r>
          </w:p>
        </w:tc>
        <w:tc>
          <w:tcPr>
            <w:tcW w:w="77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810"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4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0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5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1685" w:type="dxa"/>
            <w:shd w:val="clear" w:color="auto" w:fill="auto"/>
            <w:vAlign w:val="center"/>
          </w:tcPr>
          <w:p>
            <w:pPr>
              <w:spacing w:line="300" w:lineRule="exact"/>
              <w:rPr>
                <w:rFonts w:ascii="方正仿宋_GBK" w:eastAsia="方正仿宋_GBK"/>
                <w:color w:val="000000"/>
                <w:kern w:val="0"/>
                <w:sz w:val="24"/>
              </w:rPr>
            </w:pPr>
            <w:r>
              <w:rPr>
                <w:rFonts w:hint="eastAsia" w:ascii="方正仿宋_GBK" w:eastAsia="方正仿宋_GBK"/>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65" w:type="dxa"/>
            <w:vMerge w:val="restart"/>
            <w:shd w:val="clear" w:color="auto" w:fill="auto"/>
            <w:vAlign w:val="center"/>
          </w:tcPr>
          <w:p>
            <w:pPr>
              <w:jc w:val="center"/>
              <w:rPr>
                <w:rFonts w:ascii="方正仿宋_GBK" w:eastAsia="方正仿宋_GBK"/>
                <w:color w:val="000000"/>
                <w:sz w:val="24"/>
              </w:rPr>
            </w:pPr>
            <w:r>
              <w:rPr>
                <w:rFonts w:hint="eastAsia" w:ascii="方正仿宋_GBK" w:eastAsia="方正仿宋_GBK"/>
                <w:color w:val="000000"/>
                <w:sz w:val="24"/>
              </w:rPr>
              <w:t>工业雷管库</w:t>
            </w:r>
          </w:p>
          <w:p>
            <w:pPr>
              <w:jc w:val="center"/>
              <w:rPr>
                <w:rFonts w:ascii="方正仿宋_GBK" w:eastAsia="方正仿宋_GBK"/>
                <w:color w:val="000000"/>
                <w:kern w:val="0"/>
                <w:sz w:val="24"/>
              </w:rPr>
            </w:pPr>
            <w:r>
              <w:rPr>
                <w:rFonts w:hint="eastAsia" w:ascii="方正仿宋_GBK" w:eastAsia="方正仿宋_GBK"/>
                <w:color w:val="000000"/>
                <w:kern w:val="0"/>
                <w:sz w:val="24"/>
              </w:rPr>
              <w:t>......</w:t>
            </w:r>
          </w:p>
        </w:tc>
        <w:tc>
          <w:tcPr>
            <w:tcW w:w="133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sz w:val="24"/>
              </w:rPr>
              <w:t>储存</w:t>
            </w:r>
          </w:p>
        </w:tc>
        <w:tc>
          <w:tcPr>
            <w:tcW w:w="3260" w:type="dxa"/>
            <w:shd w:val="clear" w:color="auto" w:fill="auto"/>
            <w:vAlign w:val="center"/>
          </w:tcPr>
          <w:p>
            <w:pPr>
              <w:spacing w:line="300" w:lineRule="exact"/>
              <w:rPr>
                <w:rFonts w:ascii="方正仿宋_GBK" w:eastAsia="方正仿宋_GBK"/>
                <w:color w:val="000000"/>
                <w:kern w:val="0"/>
                <w:sz w:val="24"/>
              </w:rPr>
            </w:pPr>
            <w:r>
              <w:rPr>
                <w:rFonts w:hint="eastAsia" w:ascii="方正仿宋_GBK" w:eastAsia="方正仿宋_GBK"/>
                <w:color w:val="000000"/>
                <w:sz w:val="24"/>
              </w:rPr>
              <w:t>储存中遭遇受热、射频等引发爆炸事故。</w:t>
            </w:r>
          </w:p>
        </w:tc>
        <w:tc>
          <w:tcPr>
            <w:tcW w:w="3334" w:type="dxa"/>
            <w:shd w:val="clear" w:color="auto" w:fill="auto"/>
            <w:vAlign w:val="center"/>
          </w:tcPr>
          <w:p>
            <w:pPr>
              <w:adjustRightInd w:val="0"/>
              <w:snapToGrid w:val="0"/>
              <w:spacing w:line="240" w:lineRule="exact"/>
              <w:rPr>
                <w:rFonts w:ascii="方正仿宋_GBK" w:eastAsia="方正仿宋_GBK"/>
                <w:color w:val="000000"/>
                <w:sz w:val="24"/>
              </w:rPr>
            </w:pPr>
            <w:r>
              <w:rPr>
                <w:rStyle w:val="14"/>
                <w:rFonts w:hint="eastAsia" w:ascii="方正仿宋_GBK" w:eastAsia="方正仿宋_GBK"/>
              </w:rPr>
              <w:t>1.室温</w:t>
            </w:r>
            <w:r>
              <w:rPr>
                <w:rFonts w:hint="eastAsia" w:ascii="方正仿宋_GBK" w:eastAsia="方正仿宋_GBK"/>
                <w:color w:val="000000"/>
                <w:sz w:val="24"/>
              </w:rPr>
              <w:t xml:space="preserve">＜XX </w:t>
            </w:r>
            <w:r>
              <w:rPr>
                <w:rFonts w:hint="eastAsia" w:ascii="方正仿宋_GBK" w:eastAsia="方正仿宋_GBK" w:cs="宋体"/>
                <w:color w:val="000000"/>
                <w:sz w:val="24"/>
              </w:rPr>
              <w:t>℃</w:t>
            </w:r>
          </w:p>
          <w:p>
            <w:pPr>
              <w:adjustRightInd w:val="0"/>
              <w:snapToGrid w:val="0"/>
              <w:spacing w:line="240" w:lineRule="exact"/>
              <w:rPr>
                <w:rFonts w:ascii="方正仿宋_GBK" w:eastAsia="方正仿宋_GBK"/>
                <w:color w:val="000000"/>
                <w:sz w:val="24"/>
              </w:rPr>
            </w:pPr>
            <w:r>
              <w:rPr>
                <w:rFonts w:hint="eastAsia" w:ascii="方正仿宋_GBK" w:eastAsia="方正仿宋_GBK"/>
                <w:color w:val="000000"/>
                <w:sz w:val="24"/>
              </w:rPr>
              <w:t>2. XX %</w:t>
            </w:r>
            <w:r>
              <w:rPr>
                <w:rStyle w:val="15"/>
                <w:rFonts w:hint="eastAsia" w:ascii="方正仿宋_GBK" w:eastAsia="方正仿宋_GBK"/>
              </w:rPr>
              <w:t>＜</w:t>
            </w:r>
            <w:r>
              <w:rPr>
                <w:rFonts w:hint="eastAsia" w:ascii="方正仿宋_GBK" w:eastAsia="方正仿宋_GBK"/>
                <w:color w:val="000000"/>
                <w:sz w:val="24"/>
              </w:rPr>
              <w:t>湿度</w:t>
            </w:r>
            <w:r>
              <w:rPr>
                <w:rStyle w:val="15"/>
                <w:rFonts w:hint="eastAsia" w:ascii="方正仿宋_GBK" w:eastAsia="方正仿宋_GBK"/>
              </w:rPr>
              <w:t>＜XX%</w:t>
            </w:r>
          </w:p>
          <w:p>
            <w:pPr>
              <w:spacing w:line="240" w:lineRule="exact"/>
              <w:rPr>
                <w:rFonts w:ascii="方正仿宋_GBK" w:eastAsia="方正仿宋_GBK"/>
                <w:color w:val="000000"/>
                <w:kern w:val="0"/>
                <w:sz w:val="24"/>
              </w:rPr>
            </w:pPr>
            <w:r>
              <w:rPr>
                <w:rFonts w:hint="eastAsia" w:ascii="方正仿宋_GBK" w:eastAsia="方正仿宋_GBK"/>
                <w:color w:val="000000"/>
                <w:sz w:val="24"/>
              </w:rPr>
              <w:t>......</w:t>
            </w:r>
          </w:p>
        </w:tc>
        <w:tc>
          <w:tcPr>
            <w:tcW w:w="77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810"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4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0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5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1685" w:type="dxa"/>
            <w:vMerge w:val="restart"/>
            <w:shd w:val="clear" w:color="auto" w:fill="auto"/>
            <w:vAlign w:val="center"/>
          </w:tcPr>
          <w:p>
            <w:pPr>
              <w:spacing w:line="300" w:lineRule="exact"/>
              <w:rPr>
                <w:rFonts w:ascii="方正仿宋_GBK" w:eastAsia="方正仿宋_GBK"/>
                <w:color w:val="000000"/>
                <w:kern w:val="0"/>
                <w:sz w:val="24"/>
              </w:rPr>
            </w:pPr>
            <w:r>
              <w:rPr>
                <w:rFonts w:hint="eastAsia" w:ascii="方正仿宋_GBK" w:eastAsia="方正仿宋_GBK"/>
                <w:color w:val="000000"/>
                <w:kern w:val="0"/>
                <w:sz w:val="24"/>
              </w:rPr>
              <w:t>《工业雷管库重大安全风险管控清单》见表2-4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5" w:type="dxa"/>
            <w:vMerge w:val="continue"/>
            <w:shd w:val="clear" w:color="auto" w:fill="auto"/>
            <w:vAlign w:val="center"/>
          </w:tcPr>
          <w:p/>
        </w:tc>
        <w:tc>
          <w:tcPr>
            <w:tcW w:w="133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sz w:val="24"/>
              </w:rPr>
              <w:t>搬运装卸</w:t>
            </w:r>
          </w:p>
        </w:tc>
        <w:tc>
          <w:tcPr>
            <w:tcW w:w="3260" w:type="dxa"/>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 xml:space="preserve">操作不当致雷管产生撞击、摩擦，雷电、静电、射频等引发爆炸事故。 </w:t>
            </w:r>
          </w:p>
        </w:tc>
        <w:tc>
          <w:tcPr>
            <w:tcW w:w="3334" w:type="dxa"/>
            <w:shd w:val="clear" w:color="auto" w:fill="auto"/>
            <w:vAlign w:val="center"/>
          </w:tcPr>
          <w:p>
            <w:pPr>
              <w:spacing w:line="240" w:lineRule="exact"/>
              <w:rPr>
                <w:rStyle w:val="14"/>
                <w:rFonts w:ascii="方正仿宋_GBK" w:eastAsia="方正仿宋_GBK"/>
              </w:rPr>
            </w:pPr>
            <w:r>
              <w:rPr>
                <w:rStyle w:val="14"/>
                <w:rFonts w:hint="eastAsia" w:ascii="方正仿宋_GBK" w:eastAsia="方正仿宋_GBK"/>
              </w:rPr>
              <w:t>1.作业人员需穿戴导静电服,作业前应充分释放静电；</w:t>
            </w:r>
          </w:p>
          <w:p>
            <w:pPr>
              <w:spacing w:line="240" w:lineRule="exact"/>
              <w:rPr>
                <w:rStyle w:val="14"/>
                <w:rFonts w:ascii="方正仿宋_GBK" w:eastAsia="方正仿宋_GBK"/>
              </w:rPr>
            </w:pPr>
            <w:r>
              <w:rPr>
                <w:rStyle w:val="14"/>
                <w:rFonts w:hint="eastAsia" w:ascii="方正仿宋_GBK" w:eastAsia="方正仿宋_GBK"/>
              </w:rPr>
              <w:t>2.手工搬运一次不超过一箱；</w:t>
            </w:r>
          </w:p>
          <w:p>
            <w:pPr>
              <w:spacing w:line="240" w:lineRule="exact"/>
              <w:rPr>
                <w:rStyle w:val="14"/>
                <w:rFonts w:ascii="方正仿宋_GBK" w:eastAsia="方正仿宋_GBK"/>
              </w:rPr>
            </w:pPr>
            <w:r>
              <w:rPr>
                <w:rFonts w:hint="eastAsia" w:ascii="方正仿宋_GBK" w:eastAsia="方正仿宋_GBK"/>
                <w:color w:val="000000"/>
                <w:sz w:val="24"/>
              </w:rPr>
              <w:t>......</w:t>
            </w:r>
          </w:p>
        </w:tc>
        <w:tc>
          <w:tcPr>
            <w:tcW w:w="77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810"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4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09"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757" w:type="dxa"/>
            <w:shd w:val="clear" w:color="auto" w:fill="auto"/>
            <w:vAlign w:val="center"/>
          </w:tcPr>
          <w:p>
            <w:pPr>
              <w:spacing w:line="300" w:lineRule="exact"/>
              <w:jc w:val="center"/>
              <w:rPr>
                <w:rFonts w:ascii="方正仿宋_GBK" w:eastAsia="方正仿宋_GBK"/>
                <w:color w:val="000000"/>
                <w:kern w:val="0"/>
                <w:sz w:val="24"/>
              </w:rPr>
            </w:pPr>
            <w:r>
              <w:rPr>
                <w:rFonts w:hint="eastAsia" w:ascii="方正仿宋_GBK" w:eastAsia="方正仿宋_GBK"/>
                <w:color w:val="000000"/>
                <w:kern w:val="0"/>
                <w:sz w:val="24"/>
              </w:rPr>
              <w:t>XX</w:t>
            </w:r>
          </w:p>
        </w:tc>
        <w:tc>
          <w:tcPr>
            <w:tcW w:w="1685"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5" w:type="dxa"/>
            <w:shd w:val="clear" w:color="auto" w:fill="auto"/>
            <w:vAlign w:val="center"/>
          </w:tcPr>
          <w:p>
            <w:pPr>
              <w:spacing w:line="240" w:lineRule="exact"/>
              <w:jc w:val="center"/>
              <w:rPr>
                <w:rFonts w:ascii="方正仿宋_GBK" w:eastAsia="方正仿宋_GBK"/>
                <w:color w:val="000000"/>
                <w:kern w:val="0"/>
                <w:sz w:val="24"/>
              </w:rPr>
            </w:pPr>
          </w:p>
        </w:tc>
        <w:tc>
          <w:tcPr>
            <w:tcW w:w="1337" w:type="dxa"/>
            <w:shd w:val="clear" w:color="auto" w:fill="auto"/>
            <w:vAlign w:val="center"/>
          </w:tcPr>
          <w:p>
            <w:pPr>
              <w:spacing w:line="240" w:lineRule="exact"/>
              <w:jc w:val="center"/>
              <w:rPr>
                <w:rFonts w:ascii="方正仿宋_GBK" w:eastAsia="方正仿宋_GBK"/>
                <w:color w:val="000000"/>
                <w:kern w:val="0"/>
                <w:sz w:val="24"/>
              </w:rPr>
            </w:pPr>
          </w:p>
        </w:tc>
        <w:tc>
          <w:tcPr>
            <w:tcW w:w="3260" w:type="dxa"/>
            <w:shd w:val="clear" w:color="auto" w:fill="auto"/>
            <w:vAlign w:val="center"/>
          </w:tcPr>
          <w:p>
            <w:pPr>
              <w:spacing w:line="240" w:lineRule="exact"/>
              <w:jc w:val="center"/>
              <w:rPr>
                <w:rFonts w:ascii="方正仿宋_GBK" w:eastAsia="方正仿宋_GBK"/>
                <w:color w:val="000000"/>
                <w:kern w:val="0"/>
                <w:sz w:val="24"/>
              </w:rPr>
            </w:pPr>
          </w:p>
        </w:tc>
        <w:tc>
          <w:tcPr>
            <w:tcW w:w="3334" w:type="dxa"/>
            <w:shd w:val="clear" w:color="auto" w:fill="auto"/>
            <w:vAlign w:val="center"/>
          </w:tcPr>
          <w:p>
            <w:pPr>
              <w:spacing w:line="240" w:lineRule="exact"/>
              <w:jc w:val="left"/>
              <w:rPr>
                <w:rFonts w:ascii="方正仿宋_GBK" w:eastAsia="方正仿宋_GBK"/>
                <w:b/>
                <w:color w:val="000000"/>
                <w:kern w:val="0"/>
                <w:sz w:val="24"/>
              </w:rPr>
            </w:pPr>
          </w:p>
        </w:tc>
        <w:tc>
          <w:tcPr>
            <w:tcW w:w="777" w:type="dxa"/>
            <w:shd w:val="clear" w:color="auto" w:fill="auto"/>
            <w:vAlign w:val="center"/>
          </w:tcPr>
          <w:p>
            <w:pPr>
              <w:spacing w:line="240" w:lineRule="exact"/>
              <w:jc w:val="center"/>
              <w:rPr>
                <w:rFonts w:ascii="方正仿宋_GBK" w:eastAsia="方正仿宋_GBK"/>
                <w:color w:val="000000"/>
                <w:kern w:val="0"/>
                <w:sz w:val="24"/>
              </w:rPr>
            </w:pPr>
          </w:p>
        </w:tc>
        <w:tc>
          <w:tcPr>
            <w:tcW w:w="810" w:type="dxa"/>
            <w:shd w:val="clear" w:color="auto" w:fill="auto"/>
            <w:vAlign w:val="center"/>
          </w:tcPr>
          <w:p>
            <w:pPr>
              <w:spacing w:line="240" w:lineRule="exact"/>
              <w:jc w:val="center"/>
              <w:rPr>
                <w:rFonts w:ascii="方正仿宋_GBK" w:eastAsia="方正仿宋_GBK"/>
                <w:color w:val="000000"/>
                <w:kern w:val="0"/>
                <w:sz w:val="24"/>
              </w:rPr>
            </w:pPr>
          </w:p>
        </w:tc>
        <w:tc>
          <w:tcPr>
            <w:tcW w:w="749" w:type="dxa"/>
            <w:shd w:val="clear" w:color="auto" w:fill="auto"/>
            <w:vAlign w:val="center"/>
          </w:tcPr>
          <w:p>
            <w:pPr>
              <w:spacing w:line="240" w:lineRule="exact"/>
              <w:jc w:val="center"/>
              <w:rPr>
                <w:rFonts w:ascii="方正仿宋_GBK" w:eastAsia="方正仿宋_GBK"/>
                <w:color w:val="000000"/>
                <w:kern w:val="0"/>
                <w:sz w:val="24"/>
              </w:rPr>
            </w:pPr>
          </w:p>
        </w:tc>
        <w:tc>
          <w:tcPr>
            <w:tcW w:w="709" w:type="dxa"/>
            <w:shd w:val="clear" w:color="auto" w:fill="auto"/>
            <w:vAlign w:val="center"/>
          </w:tcPr>
          <w:p>
            <w:pPr>
              <w:spacing w:line="240" w:lineRule="exact"/>
              <w:jc w:val="center"/>
              <w:rPr>
                <w:rFonts w:ascii="方正仿宋_GBK" w:eastAsia="方正仿宋_GBK"/>
                <w:color w:val="000000"/>
                <w:kern w:val="0"/>
                <w:sz w:val="24"/>
              </w:rPr>
            </w:pPr>
          </w:p>
        </w:tc>
        <w:tc>
          <w:tcPr>
            <w:tcW w:w="757" w:type="dxa"/>
            <w:shd w:val="clear" w:color="auto" w:fill="auto"/>
            <w:vAlign w:val="center"/>
          </w:tcPr>
          <w:p>
            <w:pPr>
              <w:spacing w:line="240" w:lineRule="exact"/>
              <w:jc w:val="center"/>
              <w:rPr>
                <w:rFonts w:ascii="方正仿宋_GBK" w:eastAsia="方正仿宋_GBK"/>
                <w:color w:val="000000"/>
                <w:kern w:val="0"/>
                <w:sz w:val="24"/>
              </w:rPr>
            </w:pPr>
          </w:p>
        </w:tc>
        <w:tc>
          <w:tcPr>
            <w:tcW w:w="1685" w:type="dxa"/>
            <w:shd w:val="clear" w:color="auto" w:fill="auto"/>
            <w:vAlign w:val="center"/>
          </w:tcPr>
          <w:p>
            <w:pPr>
              <w:spacing w:line="240" w:lineRule="exact"/>
              <w:jc w:val="center"/>
              <w:rPr>
                <w:rFonts w:ascii="方正仿宋_GBK" w:eastAsia="方正仿宋_GBK"/>
                <w:color w:val="000000"/>
                <w:kern w:val="0"/>
                <w:sz w:val="24"/>
              </w:rPr>
            </w:pPr>
          </w:p>
        </w:tc>
      </w:tr>
    </w:tbl>
    <w:p>
      <w:pPr>
        <w:spacing w:line="580" w:lineRule="exact"/>
        <w:ind w:firstLine="480" w:firstLineChars="200"/>
        <w:rPr>
          <w:rFonts w:ascii="方正仿宋_GBK" w:eastAsia="方正仿宋_GBK"/>
          <w:color w:val="000000"/>
          <w:sz w:val="24"/>
        </w:rPr>
      </w:pPr>
      <w:r>
        <w:rPr>
          <w:rFonts w:hint="eastAsia" w:ascii="方正仿宋_GBK" w:eastAsia="方正仿宋_GBK"/>
          <w:color w:val="000000"/>
          <w:sz w:val="24"/>
        </w:rPr>
        <w:t>注：操作责任人是指操作控制（含远程控制）风险部位设施或在风险环节进行某些风险操作的责任人；操作监督责任人是指现场巡视监督以及即时监控或以一定频次抽查视频监控、操控记录，督促操作人员按章操作的责任人（如该风险部位/环节无操作人员可不填）；部位检查责任人是指以一定频次对风险部位进行巡查、检查、上报隐患的责任人；隐患记录责任人是指制作隐患台账并督促隐患及时整改的责任人（因隐患整改责任人视隐患问题类型不同而有所区别，故该清单未设置隐患整改责任人，具体隐患整改责任人由4-1隐患排查治理清单按隐患类型确定）；条件保障责任人是指针对该风险环节部位/操作出现问题时进行协调解决，在出现隐患需要整改时提供设备、资金等支持的责任人，亦可理解为重大危险源管理责任人+后勤设施设备保障相关人员。所有类型责任人据实填写，可填写多岗位多人，具体职责由安全生产岗位责任清单确定。</w:t>
      </w:r>
    </w:p>
    <w:p>
      <w:pPr>
        <w:spacing w:line="580" w:lineRule="exact"/>
        <w:jc w:val="center"/>
        <w:rPr>
          <w:rFonts w:eastAsia="黑体"/>
          <w:color w:val="000000"/>
          <w:kern w:val="0"/>
          <w:sz w:val="30"/>
          <w:szCs w:val="30"/>
        </w:rPr>
      </w:pPr>
      <w:r>
        <w:rPr>
          <w:rFonts w:eastAsia="黑体"/>
          <w:color w:val="000000"/>
          <w:kern w:val="0"/>
          <w:sz w:val="30"/>
          <w:szCs w:val="30"/>
        </w:rPr>
        <w:br w:type="page"/>
      </w:r>
      <w:r>
        <w:rPr>
          <w:rFonts w:hint="eastAsia" w:eastAsia="黑体"/>
          <w:color w:val="000000"/>
          <w:kern w:val="0"/>
          <w:sz w:val="30"/>
          <w:szCs w:val="30"/>
        </w:rPr>
        <w:t>2-</w:t>
      </w:r>
      <w:r>
        <w:rPr>
          <w:rFonts w:eastAsia="黑体"/>
          <w:color w:val="000000"/>
          <w:kern w:val="0"/>
          <w:sz w:val="30"/>
          <w:szCs w:val="30"/>
        </w:rPr>
        <w:t>2</w:t>
      </w:r>
      <w:r>
        <w:rPr>
          <w:rFonts w:hint="eastAsia" w:eastAsia="黑体"/>
          <w:color w:val="000000"/>
          <w:kern w:val="0"/>
          <w:sz w:val="30"/>
          <w:szCs w:val="30"/>
        </w:rPr>
        <w:t>某企业安全风险四色图（示例）</w:t>
      </w:r>
    </w:p>
    <w:p>
      <w:pPr>
        <w:pStyle w:val="2"/>
        <w:ind w:left="0" w:leftChars="0" w:firstLine="0" w:firstLineChars="0"/>
      </w:pPr>
      <w:r>
        <w:rPr>
          <w:color w:val="000000"/>
        </w:rPr>
        <w:drawing>
          <wp:inline distT="0" distB="0" distL="0" distR="0">
            <wp:extent cx="8771890" cy="4991100"/>
            <wp:effectExtent l="0" t="0" r="0" b="762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76203" cy="4993193"/>
                    </a:xfrm>
                    <a:prstGeom prst="rect">
                      <a:avLst/>
                    </a:prstGeom>
                    <a:noFill/>
                    <a:ln>
                      <a:noFill/>
                    </a:ln>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2FB5D79"/>
    <w:rsid w:val="02FB5D79"/>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64C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character" w:customStyle="1" w:styleId="14">
    <w:name w:val="font91"/>
    <w:qFormat/>
    <w:uiPriority w:val="0"/>
    <w:rPr>
      <w:rFonts w:ascii="Times New Roman" w:hAnsi="Times New Roman" w:cs="Times New Roman"/>
      <w:color w:val="000000"/>
      <w:sz w:val="24"/>
      <w:szCs w:val="24"/>
      <w:u w:val="none"/>
      <w:lang w:bidi="ar-SA"/>
    </w:rPr>
  </w:style>
  <w:style w:type="character" w:customStyle="1" w:styleId="15">
    <w:name w:val="font21"/>
    <w:qFormat/>
    <w:uiPriority w:val="0"/>
    <w:rPr>
      <w:rFonts w:ascii="仿宋_GB2312" w:eastAsia="仿宋_GB2312" w:cs="仿宋_GB2312"/>
      <w:color w:val="000000"/>
      <w:sz w:val="24"/>
      <w:szCs w:val="24"/>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Words>
  <Characters>9</Characters>
  <Lines>0</Lines>
  <Paragraphs>0</Paragraphs>
  <TotalTime>0</TotalTime>
  <ScaleCrop>false</ScaleCrop>
  <LinksUpToDate>false</LinksUpToDate>
  <CharactersWithSpaces>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2023-03-02T09:05:00Z</dcterms:created>
  <dc:creator>孙瑞</dc:creator>
  <cp:lastModifiedBy>孙瑞</cp:lastModifiedBy>
  <dcterms:modified xsi:type="dcterms:W3CDTF">2023-03-02T09:05:43Z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23C153268D37416BA067974D6FCE7116</vt:lpwstr>
  </property>
</Properties>
</file>