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color w:val="000000"/>
          <w:kern w:val="0"/>
          <w:sz w:val="30"/>
          <w:szCs w:val="30"/>
        </w:rPr>
      </w:pPr>
      <w:r>
        <w:rPr>
          <w:rFonts w:hint="eastAsia" w:eastAsia="黑体"/>
          <w:color w:val="000000"/>
          <w:kern w:val="0"/>
          <w:sz w:val="30"/>
          <w:szCs w:val="30"/>
        </w:rPr>
        <w:t>部门督查检查清单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
        <w:gridCol w:w="3677"/>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tcPr>
          <w:p>
            <w:pPr>
              <w:spacing w:line="500" w:lineRule="exact"/>
              <w:jc w:val="center"/>
              <w:outlineLvl w:val="1"/>
              <w:rPr>
                <w:rFonts w:eastAsia="黑体"/>
                <w:color w:val="000000"/>
                <w:kern w:val="0"/>
                <w:sz w:val="30"/>
                <w:szCs w:val="30"/>
              </w:rPr>
            </w:pPr>
            <w:r>
              <w:rPr>
                <w:rFonts w:hint="eastAsia" w:eastAsia="黑体"/>
                <w:color w:val="000000"/>
                <w:kern w:val="0"/>
                <w:sz w:val="30"/>
                <w:szCs w:val="30"/>
              </w:rPr>
              <w:t>督查、检查项目</w:t>
            </w:r>
          </w:p>
        </w:tc>
        <w:tc>
          <w:tcPr>
            <w:tcW w:w="4285" w:type="dxa"/>
          </w:tcPr>
          <w:p>
            <w:pPr>
              <w:spacing w:line="500" w:lineRule="exact"/>
              <w:jc w:val="center"/>
              <w:outlineLvl w:val="1"/>
              <w:rPr>
                <w:rFonts w:eastAsia="黑体"/>
                <w:color w:val="000000"/>
                <w:kern w:val="0"/>
                <w:sz w:val="30"/>
                <w:szCs w:val="30"/>
              </w:rPr>
            </w:pPr>
            <w:r>
              <w:rPr>
                <w:rFonts w:hint="eastAsia" w:eastAsia="黑体"/>
                <w:color w:val="000000"/>
                <w:kern w:val="0"/>
                <w:sz w:val="30"/>
                <w:szCs w:val="30"/>
              </w:rPr>
              <w:t>督查、检查内容</w:t>
            </w:r>
          </w:p>
        </w:tc>
        <w:tc>
          <w:tcPr>
            <w:tcW w:w="3247" w:type="dxa"/>
          </w:tcPr>
          <w:p>
            <w:pPr>
              <w:spacing w:line="500" w:lineRule="exact"/>
              <w:jc w:val="center"/>
              <w:outlineLvl w:val="1"/>
              <w:rPr>
                <w:rFonts w:eastAsia="黑体"/>
                <w:color w:val="000000"/>
                <w:kern w:val="0"/>
                <w:sz w:val="30"/>
                <w:szCs w:val="30"/>
              </w:rPr>
            </w:pPr>
            <w:r>
              <w:rPr>
                <w:rFonts w:hint="eastAsia" w:eastAsia="黑体"/>
                <w:color w:val="000000"/>
                <w:kern w:val="0"/>
                <w:sz w:val="30"/>
                <w:szCs w:val="30"/>
              </w:rPr>
              <w:t>督查频次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209" w:type="dxa"/>
            <w:vAlign w:val="center"/>
          </w:tcPr>
          <w:p>
            <w:pPr>
              <w:spacing w:line="300" w:lineRule="exact"/>
              <w:outlineLvl w:val="1"/>
              <w:rPr>
                <w:rFonts w:eastAsia="黑体"/>
                <w:b/>
                <w:color w:val="000000"/>
                <w:kern w:val="0"/>
                <w:sz w:val="30"/>
                <w:szCs w:val="30"/>
              </w:rPr>
            </w:pPr>
            <w:r>
              <w:rPr>
                <w:rFonts w:hint="eastAsia"/>
                <w:b/>
                <w:color w:val="000000"/>
                <w:sz w:val="22"/>
              </w:rPr>
              <w:t>督查党中央、国务院以及上级党委和政府、本级党委关于安全生产的决策部署和指示精神落实情况</w:t>
            </w:r>
          </w:p>
        </w:tc>
        <w:tc>
          <w:tcPr>
            <w:tcW w:w="4285" w:type="dxa"/>
            <w:vAlign w:val="center"/>
          </w:tcPr>
          <w:p>
            <w:pPr>
              <w:spacing w:line="300" w:lineRule="exact"/>
              <w:outlineLvl w:val="1"/>
              <w:rPr>
                <w:rFonts w:ascii="方正仿宋_GBK" w:eastAsia="方正仿宋_GBK"/>
                <w:color w:val="000000"/>
                <w:sz w:val="22"/>
              </w:rPr>
            </w:pPr>
            <w:r>
              <w:rPr>
                <w:rFonts w:hint="eastAsia" w:ascii="方正仿宋_GBK" w:eastAsia="方正仿宋_GBK"/>
                <w:color w:val="000000"/>
                <w:sz w:val="22"/>
              </w:rPr>
              <w:t>查阅文件、会议纪要、会议记录等资料，督查下级民爆行业主管部门、企业传达上级及本级党委政府关于安全生产决策部署和指示精神落实情况。</w:t>
            </w:r>
          </w:p>
        </w:tc>
        <w:tc>
          <w:tcPr>
            <w:tcW w:w="3247" w:type="dxa"/>
            <w:vMerge w:val="restart"/>
            <w:vAlign w:val="center"/>
          </w:tcPr>
          <w:p>
            <w:pPr>
              <w:spacing w:line="300" w:lineRule="exact"/>
              <w:outlineLvl w:val="1"/>
              <w:rPr>
                <w:rFonts w:ascii="方正仿宋_GBK" w:eastAsia="方正仿宋_GBK"/>
                <w:color w:val="000000"/>
                <w:sz w:val="22"/>
              </w:rPr>
            </w:pPr>
            <w:r>
              <w:rPr>
                <w:rFonts w:hint="eastAsia" w:ascii="方正仿宋_GBK" w:eastAsia="方正仿宋_GBK"/>
                <w:color w:val="000000"/>
                <w:sz w:val="22"/>
              </w:rPr>
              <w:t>（原则上市级民爆行业主管部门一季度检查一次，县级民爆行业主管部门一月检查一次，督查及检查内容可进行有针对性抽查）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2209" w:type="dxa"/>
            <w:vAlign w:val="center"/>
          </w:tcPr>
          <w:p>
            <w:pPr>
              <w:spacing w:line="300" w:lineRule="exact"/>
              <w:outlineLvl w:val="1"/>
              <w:rPr>
                <w:b/>
                <w:color w:val="000000"/>
                <w:sz w:val="22"/>
              </w:rPr>
            </w:pPr>
            <w:r>
              <w:rPr>
                <w:rFonts w:hint="eastAsia"/>
                <w:b/>
                <w:color w:val="000000"/>
                <w:sz w:val="22"/>
              </w:rPr>
              <w:t>督查企业安全生产工作开展情况</w:t>
            </w:r>
          </w:p>
        </w:tc>
        <w:tc>
          <w:tcPr>
            <w:tcW w:w="4285" w:type="dxa"/>
            <w:vAlign w:val="center"/>
          </w:tcPr>
          <w:p>
            <w:pPr>
              <w:spacing w:line="300" w:lineRule="exact"/>
              <w:outlineLvl w:val="1"/>
              <w:rPr>
                <w:rFonts w:ascii="方正仿宋_GBK" w:eastAsia="方正仿宋_GBK"/>
                <w:color w:val="000000"/>
                <w:sz w:val="22"/>
              </w:rPr>
            </w:pPr>
            <w:r>
              <w:rPr>
                <w:rFonts w:hint="eastAsia" w:ascii="方正仿宋_GBK" w:eastAsia="方正仿宋_GBK"/>
                <w:color w:val="000000"/>
                <w:sz w:val="22"/>
              </w:rPr>
              <w:t>查阅企业安全机构设置、安全规章制度、安全管理人员配备、安全经费提取使用、安全教育培训、应急预案编制备案、安全生产工作研究会议记录、部署等文件资料及风险分级管控、隐患排查治理、安全生产清单制管理等工作开展情况。</w:t>
            </w:r>
          </w:p>
        </w:tc>
        <w:tc>
          <w:tcPr>
            <w:tcW w:w="32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209" w:type="dxa"/>
            <w:vAlign w:val="center"/>
          </w:tcPr>
          <w:p>
            <w:pPr>
              <w:spacing w:line="300" w:lineRule="exact"/>
              <w:outlineLvl w:val="1"/>
              <w:rPr>
                <w:b/>
                <w:color w:val="000000"/>
                <w:sz w:val="22"/>
              </w:rPr>
            </w:pPr>
            <w:r>
              <w:rPr>
                <w:rFonts w:hint="eastAsia"/>
                <w:b/>
                <w:color w:val="000000"/>
                <w:sz w:val="22"/>
              </w:rPr>
              <w:t>组织行业执法人员、行业专家检查企业生产经营场所安全生产情况</w:t>
            </w:r>
          </w:p>
        </w:tc>
        <w:tc>
          <w:tcPr>
            <w:tcW w:w="4285" w:type="dxa"/>
            <w:vAlign w:val="center"/>
          </w:tcPr>
          <w:p>
            <w:pPr>
              <w:spacing w:line="300" w:lineRule="exact"/>
              <w:outlineLvl w:val="1"/>
              <w:rPr>
                <w:rFonts w:ascii="方正仿宋_GBK" w:eastAsia="方正仿宋_GBK"/>
                <w:color w:val="000000"/>
                <w:sz w:val="24"/>
              </w:rPr>
            </w:pPr>
            <w:r>
              <w:rPr>
                <w:rFonts w:hint="eastAsia" w:ascii="方正仿宋_GBK" w:eastAsia="方正仿宋_GBK"/>
                <w:color w:val="000000"/>
                <w:sz w:val="22"/>
              </w:rPr>
              <w:t>检查生产经营现场生产经营、消防应急、防雷防静电等设备、设施、物资情况，检查企业员工违规、违章操作等情况。</w:t>
            </w:r>
          </w:p>
        </w:tc>
        <w:tc>
          <w:tcPr>
            <w:tcW w:w="324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209" w:type="dxa"/>
            <w:vAlign w:val="center"/>
          </w:tcPr>
          <w:p>
            <w:pPr>
              <w:widowControl/>
              <w:textAlignment w:val="center"/>
              <w:rPr>
                <w:color w:val="000000"/>
                <w:sz w:val="24"/>
              </w:rPr>
            </w:pPr>
            <w:r>
              <w:rPr>
                <w:color w:val="000000"/>
                <w:sz w:val="24"/>
              </w:rPr>
              <w:t>......</w:t>
            </w:r>
          </w:p>
        </w:tc>
        <w:tc>
          <w:tcPr>
            <w:tcW w:w="4285" w:type="dxa"/>
            <w:vAlign w:val="center"/>
          </w:tcPr>
          <w:p>
            <w:pPr>
              <w:widowControl/>
              <w:textAlignment w:val="center"/>
              <w:rPr>
                <w:rFonts w:ascii="方正仿宋_GBK" w:eastAsia="方正仿宋_GBK"/>
                <w:color w:val="000000"/>
                <w:sz w:val="24"/>
              </w:rPr>
            </w:pPr>
            <w:r>
              <w:rPr>
                <w:rFonts w:hint="eastAsia" w:ascii="方正仿宋_GBK" w:eastAsia="方正仿宋_GBK"/>
                <w:color w:val="000000"/>
                <w:sz w:val="24"/>
              </w:rPr>
              <w:t>......</w:t>
            </w:r>
          </w:p>
        </w:tc>
        <w:tc>
          <w:tcPr>
            <w:tcW w:w="3247" w:type="dxa"/>
            <w:vAlign w:val="center"/>
          </w:tcPr>
          <w:p>
            <w:pPr>
              <w:widowControl/>
              <w:textAlignment w:val="center"/>
              <w:rPr>
                <w:rFonts w:ascii="方正仿宋_GBK" w:eastAsia="方正仿宋_GBK"/>
                <w:color w:val="000000"/>
                <w:sz w:val="24"/>
              </w:rPr>
            </w:pPr>
            <w:r>
              <w:rPr>
                <w:rFonts w:hint="eastAsia" w:ascii="方正仿宋_GBK" w:eastAsia="方正仿宋_GBK"/>
                <w:color w:val="000000"/>
                <w:sz w:val="24"/>
              </w:rPr>
              <w:t>......</w:t>
            </w:r>
          </w:p>
        </w:tc>
      </w:tr>
    </w:tbl>
    <w:p>
      <w:pPr>
        <w:pStyle w:val="2"/>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B36B"/>
    <w:multiLevelType w:val="multilevel"/>
    <w:tmpl w:val="06F9B36B"/>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ascii="宋体" w:hAnsi="宋体" w:eastAsia="宋体" w:cs="宋体"/>
      </w:rPr>
    </w:lvl>
    <w:lvl w:ilvl="2" w:tentative="0">
      <w:start w:val="1"/>
      <w:numFmt w:val="decimal"/>
      <w:pStyle w:val="5"/>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ascii="宋体" w:hAnsi="宋体" w:eastAsia="宋体" w:cs="宋体"/>
      </w:rPr>
    </w:lvl>
    <w:lvl w:ilvl="4" w:tentative="0">
      <w:start w:val="1"/>
      <w:numFmt w:val="decimal"/>
      <w:pStyle w:val="7"/>
      <w:lvlText w:val="%1.%2.%3.%4.%5."/>
      <w:lvlJc w:val="left"/>
      <w:pPr>
        <w:ind w:left="1008" w:hanging="1008"/>
      </w:pPr>
      <w:rPr>
        <w:rFonts w:hint="default" w:ascii="宋体" w:hAnsi="宋体" w:eastAsia="宋体" w:cs="宋体"/>
      </w:rPr>
    </w:lvl>
    <w:lvl w:ilvl="5" w:tentative="0">
      <w:start w:val="1"/>
      <w:numFmt w:val="decimal"/>
      <w:pStyle w:val="8"/>
      <w:lvlText w:val="%1.%2.%3.%4.%5.%6."/>
      <w:lvlJc w:val="left"/>
      <w:pPr>
        <w:ind w:left="1151" w:hanging="1151"/>
      </w:pPr>
      <w:rPr>
        <w:rFonts w:hint="default" w:ascii="宋体" w:hAnsi="宋体" w:eastAsia="宋体" w:cs="宋体"/>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ZTU0N2YyZjU2OTgzYTgwMjQ0YjczOGJhYzIyMjIifQ=="/>
  </w:docVars>
  <w:rsids>
    <w:rsidRoot w:val="5207215A"/>
    <w:rsid w:val="093277A9"/>
    <w:rsid w:val="0C00517C"/>
    <w:rsid w:val="0DEA1EA6"/>
    <w:rsid w:val="1BD80837"/>
    <w:rsid w:val="1C7F2A05"/>
    <w:rsid w:val="1D222E46"/>
    <w:rsid w:val="238B1303"/>
    <w:rsid w:val="269B0465"/>
    <w:rsid w:val="2DD907B5"/>
    <w:rsid w:val="332858D5"/>
    <w:rsid w:val="341C3FDE"/>
    <w:rsid w:val="37014E1F"/>
    <w:rsid w:val="39410733"/>
    <w:rsid w:val="3DA76CDD"/>
    <w:rsid w:val="4020549C"/>
    <w:rsid w:val="41302AFE"/>
    <w:rsid w:val="465E50BE"/>
    <w:rsid w:val="49521D81"/>
    <w:rsid w:val="4B115470"/>
    <w:rsid w:val="4C265B4C"/>
    <w:rsid w:val="4F270F69"/>
    <w:rsid w:val="5207215A"/>
    <w:rsid w:val="585208C9"/>
    <w:rsid w:val="5D9F2447"/>
    <w:rsid w:val="5E096584"/>
    <w:rsid w:val="6040308A"/>
    <w:rsid w:val="613E78A3"/>
    <w:rsid w:val="61BF3015"/>
    <w:rsid w:val="64463C6F"/>
    <w:rsid w:val="683141CC"/>
    <w:rsid w:val="68456707"/>
    <w:rsid w:val="6A5A6A40"/>
    <w:rsid w:val="6AEB5704"/>
    <w:rsid w:val="6DCE27EC"/>
    <w:rsid w:val="6E486122"/>
    <w:rsid w:val="7039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outlineLvl w:val="0"/>
    </w:pPr>
    <w:rPr>
      <w:rFonts w:ascii="宋体" w:hAnsi="宋体" w:cs="宋体"/>
      <w:b/>
      <w:kern w:val="44"/>
      <w:sz w:val="44"/>
      <w:szCs w:val="20"/>
    </w:rPr>
  </w:style>
  <w:style w:type="paragraph" w:styleId="4">
    <w:name w:val="heading 2"/>
    <w:basedOn w:val="1"/>
    <w:next w:val="1"/>
    <w:semiHidden/>
    <w:unhideWhenUsed/>
    <w:qFormat/>
    <w:uiPriority w:val="0"/>
    <w:pPr>
      <w:keepNext/>
      <w:keepLines/>
      <w:numPr>
        <w:ilvl w:val="1"/>
        <w:numId w:val="1"/>
      </w:numPr>
      <w:spacing w:beforeLines="0" w:beforeAutospacing="0" w:afterLines="0" w:afterAutospacing="0" w:line="360" w:lineRule="auto"/>
      <w:ind w:left="575" w:hanging="575" w:firstLineChars="0"/>
      <w:outlineLvl w:val="1"/>
    </w:pPr>
    <w:rPr>
      <w:rFonts w:ascii="宋体" w:hAnsi="宋体" w:cs="宋体"/>
      <w:b/>
      <w:sz w:val="32"/>
      <w:szCs w:val="20"/>
    </w:rPr>
  </w:style>
  <w:style w:type="paragraph" w:styleId="5">
    <w:name w:val="heading 3"/>
    <w:basedOn w:val="1"/>
    <w:next w:val="1"/>
    <w:semiHidden/>
    <w:unhideWhenUsed/>
    <w:qFormat/>
    <w:uiPriority w:val="0"/>
    <w:pPr>
      <w:keepNext/>
      <w:keepLines/>
      <w:numPr>
        <w:ilvl w:val="2"/>
        <w:numId w:val="1"/>
      </w:numPr>
      <w:spacing w:beforeLines="0" w:beforeAutospacing="0" w:afterLines="0" w:afterAutospacing="0" w:line="360" w:lineRule="auto"/>
      <w:ind w:left="720" w:hanging="720" w:firstLineChars="0"/>
      <w:outlineLvl w:val="2"/>
    </w:pPr>
    <w:rPr>
      <w:rFonts w:ascii="宋体" w:hAnsi="宋体" w:cs="宋体"/>
      <w:b/>
      <w:sz w:val="30"/>
      <w:szCs w:val="20"/>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60" w:lineRule="auto"/>
      <w:ind w:left="864" w:hanging="864" w:firstLineChars="0"/>
      <w:outlineLvl w:val="3"/>
    </w:pPr>
    <w:rPr>
      <w:rFonts w:ascii="宋体" w:hAnsi="宋体" w:cs="宋体"/>
      <w:b/>
      <w:sz w:val="28"/>
      <w:szCs w:val="20"/>
    </w:rPr>
  </w:style>
  <w:style w:type="paragraph" w:styleId="7">
    <w:name w:val="heading 5"/>
    <w:basedOn w:val="1"/>
    <w:next w:val="1"/>
    <w:semiHidden/>
    <w:unhideWhenUsed/>
    <w:qFormat/>
    <w:uiPriority w:val="0"/>
    <w:pPr>
      <w:keepNext/>
      <w:keepLines/>
      <w:numPr>
        <w:ilvl w:val="4"/>
        <w:numId w:val="1"/>
      </w:numPr>
      <w:snapToGrid w:val="0"/>
      <w:spacing w:beforeLines="0" w:beforeAutospacing="0" w:afterLines="0" w:afterAutospacing="0" w:line="360" w:lineRule="auto"/>
      <w:ind w:left="1008" w:hanging="1008" w:firstLineChars="0"/>
      <w:outlineLvl w:val="4"/>
    </w:pPr>
    <w:rPr>
      <w:rFonts w:ascii="宋体" w:hAnsi="宋体" w:cs="宋体"/>
      <w:b/>
      <w:sz w:val="28"/>
      <w:szCs w:val="20"/>
    </w:rPr>
  </w:style>
  <w:style w:type="paragraph" w:styleId="8">
    <w:name w:val="heading 6"/>
    <w:basedOn w:val="1"/>
    <w:next w:val="1"/>
    <w:semiHidden/>
    <w:unhideWhenUsed/>
    <w:qFormat/>
    <w:uiPriority w:val="0"/>
    <w:pPr>
      <w:keepNext/>
      <w:keepLines/>
      <w:numPr>
        <w:ilvl w:val="5"/>
        <w:numId w:val="1"/>
      </w:numPr>
      <w:spacing w:beforeLines="0" w:beforeAutospacing="0" w:afterLines="0" w:afterAutospacing="0" w:line="360" w:lineRule="auto"/>
      <w:ind w:left="1151" w:hanging="1151" w:firstLineChars="0"/>
      <w:outlineLvl w:val="5"/>
    </w:pPr>
    <w:rPr>
      <w:rFonts w:ascii="Arial" w:hAnsi="Arial"/>
      <w:b/>
      <w:sz w:val="28"/>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宋体"/>
      <w:b/>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3">
    <w:name w:val="Default Paragraph Font"/>
    <w:semiHidden/>
    <w:qFormat/>
    <w:uiPriority w:val="0"/>
    <w:rPr>
      <w:rFonts w:ascii="Calibri" w:hAnsi="Calibri" w:eastAsia="宋体"/>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uiPriority w:val="0"/>
    <w:pPr>
      <w:ind w:left="80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8</Characters>
  <Lines>0</Lines>
  <Paragraphs>0</Paragraphs>
  <TotalTime>0</TotalTime>
  <ScaleCrop>false</ScaleCrop>
  <LinksUpToDate>false</LinksUpToDate>
  <CharactersWithSpaces>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2023-03-02T09:10:00Z</dcterms:created>
  <dc:creator>孙瑞</dc:creator>
  <cp:lastModifiedBy>孙瑞</cp:lastModifiedBy>
  <dcterms:modified xsi:type="dcterms:W3CDTF">2023-03-02T09:10:22Z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396184F50D2546208F495CE034E0BD8C</vt:lpwstr>
  </property>
</Properties>
</file>