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简体" w:cs="Times New Roman"/>
          <w:color w:val="000000"/>
          <w:sz w:val="32"/>
          <w:szCs w:val="32"/>
          <w:lang w:eastAsia="zh-Hans"/>
        </w:rPr>
      </w:pPr>
      <w:bookmarkStart w:id="0" w:name="_GoBack"/>
      <w:r>
        <w:rPr>
          <w:rFonts w:eastAsia="方正小标宋简体"/>
          <w:bCs/>
          <w:color w:val="000000"/>
          <w:sz w:val="36"/>
          <w:szCs w:val="36"/>
        </w:rPr>
        <w:t>建筑施工重大安全风险管控清单</w:t>
      </w:r>
      <w:r>
        <w:rPr>
          <w:rFonts w:hint="eastAsia" w:eastAsia="方正小标宋简体"/>
          <w:bCs/>
          <w:color w:val="000000"/>
          <w:sz w:val="36"/>
          <w:szCs w:val="36"/>
          <w:lang w:eastAsia="zh-Hans"/>
        </w:rPr>
        <w:t>（</w:t>
      </w:r>
      <w:r>
        <w:rPr>
          <w:rFonts w:hint="eastAsia" w:ascii="Times New Roman" w:hAnsi="Times New Roman" w:eastAsia="方正小标宋简体" w:cs="Times New Roman"/>
          <w:color w:val="000000"/>
          <w:sz w:val="32"/>
          <w:szCs w:val="32"/>
          <w:lang w:eastAsia="zh-CN"/>
        </w:rPr>
        <w:t>爆破工程管理</w:t>
      </w:r>
      <w:r>
        <w:rPr>
          <w:rFonts w:hint="eastAsia" w:ascii="Times New Roman" w:hAnsi="Times New Roman" w:eastAsia="方正小标宋简体" w:cs="Times New Roman"/>
          <w:color w:val="000000"/>
          <w:sz w:val="32"/>
          <w:szCs w:val="32"/>
          <w:lang w:eastAsia="zh-Hans"/>
        </w:rPr>
        <w:t>）</w:t>
      </w:r>
    </w:p>
    <w:bookmarkEnd w:id="0"/>
    <w:tbl>
      <w:tblPr>
        <w:tblStyle w:val="16"/>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5"/>
        <w:gridCol w:w="2201"/>
        <w:gridCol w:w="2770"/>
        <w:gridCol w:w="5332"/>
        <w:gridCol w:w="1296"/>
      </w:tblGrid>
      <w:tr>
        <w:trPr>
          <w:cantSplit/>
          <w:trHeight w:val="613" w:hRule="atLeast"/>
          <w:tblHeader/>
        </w:trPr>
        <w:tc>
          <w:tcPr>
            <w:tcW w:w="304" w:type="pct"/>
            <w:noWrap w:val="0"/>
            <w:vAlign w:val="center"/>
          </w:tcPr>
          <w:p>
            <w:pPr>
              <w:spacing w:line="320" w:lineRule="exact"/>
              <w:jc w:val="center"/>
              <w:rPr>
                <w:rFonts w:eastAsia="黑体"/>
                <w:color w:val="000000"/>
                <w:sz w:val="24"/>
              </w:rPr>
            </w:pPr>
            <w:r>
              <w:rPr>
                <w:rFonts w:eastAsia="黑体"/>
                <w:color w:val="000000"/>
                <w:sz w:val="24"/>
              </w:rPr>
              <w:t>序号</w:t>
            </w:r>
          </w:p>
        </w:tc>
        <w:tc>
          <w:tcPr>
            <w:tcW w:w="514" w:type="pct"/>
            <w:noWrap w:val="0"/>
            <w:vAlign w:val="center"/>
          </w:tcPr>
          <w:p>
            <w:pPr>
              <w:spacing w:line="320" w:lineRule="exact"/>
              <w:jc w:val="center"/>
              <w:rPr>
                <w:rFonts w:eastAsia="黑体"/>
                <w:color w:val="000000"/>
                <w:sz w:val="24"/>
              </w:rPr>
            </w:pPr>
            <w:r>
              <w:rPr>
                <w:rFonts w:eastAsia="黑体"/>
                <w:color w:val="000000"/>
                <w:sz w:val="24"/>
              </w:rPr>
              <w:t>重点部位</w:t>
            </w:r>
          </w:p>
          <w:p>
            <w:pPr>
              <w:spacing w:line="320" w:lineRule="exact"/>
              <w:jc w:val="center"/>
              <w:rPr>
                <w:rFonts w:eastAsia="黑体"/>
                <w:color w:val="000000"/>
                <w:sz w:val="24"/>
              </w:rPr>
            </w:pPr>
            <w:r>
              <w:rPr>
                <w:rFonts w:hint="eastAsia" w:eastAsia="黑体"/>
                <w:color w:val="000000"/>
                <w:sz w:val="24"/>
              </w:rPr>
              <w:t>（环节）</w:t>
            </w:r>
          </w:p>
        </w:tc>
        <w:tc>
          <w:tcPr>
            <w:tcW w:w="797" w:type="pct"/>
            <w:noWrap w:val="0"/>
            <w:vAlign w:val="center"/>
          </w:tcPr>
          <w:p>
            <w:pPr>
              <w:spacing w:line="320" w:lineRule="exact"/>
              <w:jc w:val="center"/>
              <w:rPr>
                <w:rFonts w:eastAsia="黑体"/>
                <w:color w:val="000000"/>
                <w:sz w:val="24"/>
              </w:rPr>
            </w:pPr>
            <w:r>
              <w:rPr>
                <w:rFonts w:eastAsia="黑体"/>
                <w:color w:val="000000"/>
                <w:sz w:val="24"/>
              </w:rPr>
              <w:t>主要风险概述</w:t>
            </w:r>
          </w:p>
        </w:tc>
        <w:tc>
          <w:tcPr>
            <w:tcW w:w="999"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1910" w:type="pct"/>
            <w:noWrap w:val="0"/>
            <w:vAlign w:val="center"/>
          </w:tcPr>
          <w:p>
            <w:pPr>
              <w:spacing w:line="320" w:lineRule="exact"/>
              <w:jc w:val="center"/>
              <w:rPr>
                <w:rFonts w:eastAsia="黑体"/>
                <w:color w:val="000000"/>
                <w:sz w:val="24"/>
              </w:rPr>
            </w:pPr>
            <w:r>
              <w:rPr>
                <w:rFonts w:eastAsia="黑体"/>
                <w:color w:val="000000"/>
                <w:sz w:val="24"/>
              </w:rPr>
              <w:t>管控措施</w:t>
            </w:r>
          </w:p>
        </w:tc>
        <w:tc>
          <w:tcPr>
            <w:tcW w:w="475" w:type="pct"/>
            <w:noWrap w:val="0"/>
            <w:vAlign w:val="center"/>
          </w:tcPr>
          <w:p>
            <w:pPr>
              <w:spacing w:line="320" w:lineRule="exact"/>
              <w:jc w:val="center"/>
              <w:rPr>
                <w:rFonts w:eastAsia="黑体"/>
                <w:color w:val="000000"/>
                <w:sz w:val="24"/>
              </w:rPr>
            </w:pPr>
            <w:r>
              <w:rPr>
                <w:rFonts w:eastAsia="黑体"/>
                <w:color w:val="000000"/>
                <w:sz w:val="24"/>
              </w:rPr>
              <w:t>责任人</w:t>
            </w:r>
          </w:p>
        </w:tc>
      </w:tr>
      <w:tr>
        <w:tc>
          <w:tcPr>
            <w:tcW w:w="304" w:type="pct"/>
            <w:noWrap w:val="0"/>
            <w:vAlign w:val="center"/>
          </w:tcPr>
          <w:p>
            <w:pPr>
              <w:spacing w:line="320" w:lineRule="exact"/>
              <w:jc w:val="center"/>
              <w:rPr>
                <w:rFonts w:eastAsia="黑体"/>
                <w:color w:val="000000"/>
                <w:sz w:val="24"/>
              </w:rPr>
            </w:pPr>
            <w:r>
              <w:rPr>
                <w:rFonts w:hint="eastAsia" w:eastAsia="黑体"/>
                <w:color w:val="000000"/>
                <w:sz w:val="24"/>
              </w:rPr>
              <w:t>7-1</w:t>
            </w:r>
          </w:p>
        </w:tc>
        <w:tc>
          <w:tcPr>
            <w:tcW w:w="514" w:type="pct"/>
            <w:noWrap w:val="0"/>
            <w:vAlign w:val="center"/>
          </w:tcPr>
          <w:p>
            <w:pPr>
              <w:spacing w:line="320" w:lineRule="exact"/>
              <w:jc w:val="center"/>
              <w:rPr>
                <w:rFonts w:ascii="黑体" w:hAnsi="黑体" w:eastAsia="黑体"/>
                <w:color w:val="000000"/>
                <w:sz w:val="24"/>
              </w:rPr>
            </w:pPr>
            <w:r>
              <w:rPr>
                <w:rFonts w:ascii="黑体" w:hAnsi="黑体" w:eastAsia="黑体"/>
                <w:color w:val="000000"/>
                <w:sz w:val="24"/>
              </w:rPr>
              <w:t>资质及人员管理</w:t>
            </w:r>
          </w:p>
        </w:tc>
        <w:tc>
          <w:tcPr>
            <w:tcW w:w="797"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爆破从业单位不具备相应的资质或人员不具备相应能力，极易发生爆破器材丢失、爆炸事故。</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1.爆破作业单位必须符合有关行政许可及资质等级规定。</w:t>
            </w:r>
          </w:p>
          <w:p>
            <w:pPr>
              <w:spacing w:line="280" w:lineRule="exact"/>
              <w:rPr>
                <w:rFonts w:hint="eastAsia" w:ascii="仿宋" w:hAnsi="仿宋" w:eastAsia="仿宋"/>
                <w:color w:val="000000"/>
                <w:sz w:val="24"/>
              </w:rPr>
            </w:pPr>
            <w:r>
              <w:rPr>
                <w:rFonts w:hint="eastAsia" w:ascii="仿宋" w:hAnsi="仿宋" w:eastAsia="仿宋"/>
                <w:color w:val="000000"/>
                <w:sz w:val="24"/>
              </w:rPr>
              <w:t>2.涉爆人员必须持有相关证件持证上岗。</w:t>
            </w:r>
          </w:p>
          <w:p>
            <w:pPr>
              <w:spacing w:line="280" w:lineRule="exact"/>
              <w:rPr>
                <w:color w:val="000000"/>
              </w:rPr>
            </w:pPr>
            <w:r>
              <w:rPr>
                <w:rFonts w:hint="eastAsia" w:ascii="仿宋" w:hAnsi="仿宋" w:eastAsia="仿宋"/>
                <w:color w:val="000000"/>
                <w:sz w:val="24"/>
              </w:rPr>
              <w:t>3.</w:t>
            </w:r>
            <w:r>
              <w:rPr>
                <w:rFonts w:hint="eastAsia" w:ascii="Calibri" w:hAnsi="Calibri" w:eastAsia="仿宋_GB2312"/>
                <w:color w:val="000000"/>
                <w:sz w:val="24"/>
              </w:rPr>
              <w:t xml:space="preserve"> ……</w:t>
            </w:r>
          </w:p>
          <w:p>
            <w:pPr>
              <w:pStyle w:val="14"/>
              <w:ind w:firstLine="0" w:firstLineChars="0"/>
              <w:rPr>
                <w:rFonts w:hint="eastAsia"/>
                <w:color w:val="000000"/>
              </w:rPr>
            </w:pPr>
          </w:p>
        </w:tc>
        <w:tc>
          <w:tcPr>
            <w:tcW w:w="1910" w:type="pct"/>
            <w:noWrap w:val="0"/>
            <w:vAlign w:val="center"/>
          </w:tcPr>
          <w:p>
            <w:pPr>
              <w:spacing w:line="280" w:lineRule="exact"/>
              <w:rPr>
                <w:rFonts w:eastAsia="仿宋"/>
                <w:color w:val="000000"/>
                <w:sz w:val="24"/>
              </w:rPr>
            </w:pPr>
            <w:r>
              <w:rPr>
                <w:rFonts w:hint="eastAsia" w:eastAsia="仿宋"/>
                <w:color w:val="000000"/>
                <w:sz w:val="24"/>
              </w:rPr>
              <w:t>1. 爆破作业项目施工前应获得公安部门的施工许可及施工</w:t>
            </w:r>
            <w:r>
              <w:rPr>
                <w:rFonts w:eastAsia="仿宋"/>
                <w:color w:val="000000"/>
                <w:sz w:val="24"/>
              </w:rPr>
              <w:t>备案</w:t>
            </w:r>
            <w:r>
              <w:rPr>
                <w:rFonts w:hint="eastAsia" w:eastAsia="仿宋"/>
                <w:color w:val="000000"/>
                <w:sz w:val="24"/>
              </w:rPr>
              <w:t>。对于需要公安部门进行爆破设计审批的项目，应通过审批。</w:t>
            </w:r>
          </w:p>
          <w:p>
            <w:pPr>
              <w:spacing w:line="280" w:lineRule="exact"/>
              <w:rPr>
                <w:rFonts w:eastAsia="仿宋"/>
                <w:color w:val="000000"/>
                <w:sz w:val="24"/>
              </w:rPr>
            </w:pPr>
            <w:r>
              <w:rPr>
                <w:rFonts w:hint="eastAsia" w:eastAsia="仿宋"/>
                <w:color w:val="000000"/>
                <w:sz w:val="24"/>
              </w:rPr>
              <w:t>2.民用爆炸物品从业单位、爆破安全评估单位、爆破安全监理单位、爆破振动第三方检测单位及相关从业人员的资质符合相关规定。</w:t>
            </w:r>
          </w:p>
          <w:p>
            <w:pPr>
              <w:spacing w:line="280" w:lineRule="exact"/>
              <w:rPr>
                <w:rFonts w:eastAsia="仿宋"/>
                <w:color w:val="000000"/>
                <w:sz w:val="24"/>
              </w:rPr>
            </w:pPr>
            <w:r>
              <w:rPr>
                <w:rFonts w:eastAsia="仿宋"/>
                <w:color w:val="000000"/>
                <w:sz w:val="24"/>
              </w:rPr>
              <w:t>3</w:t>
            </w:r>
            <w:r>
              <w:rPr>
                <w:rFonts w:hint="eastAsia" w:eastAsia="仿宋"/>
                <w:color w:val="000000"/>
                <w:sz w:val="24"/>
              </w:rPr>
              <w:t>.按规定配备爆破技术人员、爆破员、安全员、保管员等涉爆人员，涉爆人员必须持有当地公安机关核发的证件上岗，保管员必须为本单位正式职工。</w:t>
            </w:r>
          </w:p>
          <w:p>
            <w:pPr>
              <w:spacing w:line="280" w:lineRule="exact"/>
              <w:rPr>
                <w:rFonts w:eastAsia="仿宋"/>
                <w:color w:val="000000"/>
                <w:sz w:val="24"/>
              </w:rPr>
            </w:pPr>
            <w:r>
              <w:rPr>
                <w:rFonts w:eastAsia="仿宋"/>
                <w:color w:val="000000"/>
                <w:sz w:val="24"/>
              </w:rPr>
              <w:t>4</w:t>
            </w:r>
            <w:r>
              <w:rPr>
                <w:rFonts w:hint="eastAsia" w:eastAsia="仿宋"/>
                <w:color w:val="000000"/>
                <w:sz w:val="24"/>
              </w:rPr>
              <w:t>. ……</w:t>
            </w:r>
          </w:p>
        </w:tc>
        <w:tc>
          <w:tcPr>
            <w:tcW w:w="475" w:type="pct"/>
            <w:noWrap w:val="0"/>
            <w:vAlign w:val="center"/>
          </w:tcPr>
          <w:p>
            <w:pPr>
              <w:spacing w:line="280" w:lineRule="exact"/>
              <w:rPr>
                <w:rFonts w:eastAsia="仿宋"/>
                <w:color w:val="000000"/>
                <w:sz w:val="24"/>
              </w:rPr>
            </w:pPr>
            <w:r>
              <w:rPr>
                <w:rFonts w:hint="eastAsia" w:eastAsia="仿宋"/>
                <w:color w:val="000000"/>
                <w:sz w:val="24"/>
              </w:rPr>
              <w:t>原则上由从事爆破作业单位</w:t>
            </w:r>
            <w:r>
              <w:rPr>
                <w:rFonts w:eastAsia="仿宋"/>
                <w:color w:val="000000"/>
                <w:sz w:val="24"/>
              </w:rPr>
              <w:t>负责具体实施，</w:t>
            </w:r>
            <w:r>
              <w:rPr>
                <w:rFonts w:hint="eastAsia" w:eastAsia="仿宋"/>
                <w:color w:val="000000"/>
                <w:sz w:val="24"/>
              </w:rPr>
              <w:t>企业安全</w:t>
            </w:r>
            <w:r>
              <w:rPr>
                <w:rFonts w:eastAsia="仿宋"/>
                <w:color w:val="000000"/>
                <w:sz w:val="24"/>
              </w:rPr>
              <w:t>管理人负责</w:t>
            </w:r>
            <w:r>
              <w:rPr>
                <w:rFonts w:hint="eastAsia" w:eastAsia="仿宋"/>
                <w:color w:val="000000"/>
                <w:sz w:val="24"/>
              </w:rPr>
              <w:t>协助办理并监督管理。</w:t>
            </w:r>
          </w:p>
        </w:tc>
      </w:tr>
      <w:tr>
        <w:trPr>
          <w:trHeight w:val="714" w:hRule="atLeast"/>
        </w:trPr>
        <w:tc>
          <w:tcPr>
            <w:tcW w:w="304" w:type="pct"/>
            <w:noWrap w:val="0"/>
            <w:vAlign w:val="center"/>
          </w:tcPr>
          <w:p>
            <w:pPr>
              <w:spacing w:line="320" w:lineRule="exact"/>
              <w:jc w:val="center"/>
              <w:rPr>
                <w:rFonts w:eastAsia="黑体"/>
                <w:color w:val="000000"/>
                <w:sz w:val="24"/>
              </w:rPr>
            </w:pPr>
            <w:r>
              <w:rPr>
                <w:rFonts w:hint="eastAsia" w:eastAsia="黑体"/>
                <w:color w:val="000000"/>
                <w:sz w:val="24"/>
              </w:rPr>
              <w:t>7-2</w:t>
            </w:r>
          </w:p>
        </w:tc>
        <w:tc>
          <w:tcPr>
            <w:tcW w:w="514" w:type="pct"/>
            <w:noWrap w:val="0"/>
            <w:vAlign w:val="center"/>
          </w:tcPr>
          <w:p>
            <w:pPr>
              <w:spacing w:line="300" w:lineRule="exact"/>
              <w:jc w:val="center"/>
              <w:rPr>
                <w:rFonts w:eastAsia="黑体"/>
                <w:color w:val="000000"/>
                <w:sz w:val="24"/>
              </w:rPr>
            </w:pPr>
            <w:r>
              <w:rPr>
                <w:rFonts w:eastAsia="黑体"/>
                <w:color w:val="000000"/>
                <w:sz w:val="24"/>
              </w:rPr>
              <w:t>爆破专项</w:t>
            </w:r>
          </w:p>
          <w:p>
            <w:pPr>
              <w:spacing w:line="300" w:lineRule="exact"/>
              <w:jc w:val="center"/>
              <w:rPr>
                <w:rFonts w:eastAsia="黑体"/>
                <w:color w:val="000000"/>
                <w:sz w:val="24"/>
              </w:rPr>
            </w:pPr>
            <w:r>
              <w:rPr>
                <w:rFonts w:eastAsia="黑体"/>
                <w:color w:val="000000"/>
                <w:sz w:val="24"/>
              </w:rPr>
              <w:t>方案</w:t>
            </w:r>
          </w:p>
        </w:tc>
        <w:tc>
          <w:tcPr>
            <w:tcW w:w="797"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未编制爆破方案或未按规定审批，</w:t>
            </w:r>
            <w:r>
              <w:rPr>
                <w:rFonts w:hint="eastAsia" w:eastAsia="仿宋_GB2312"/>
                <w:color w:val="000000"/>
                <w:sz w:val="24"/>
              </w:rPr>
              <w:t>属违法违规施工。</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1.爆破作业必须进行专门爆破设计和审批。</w:t>
            </w:r>
          </w:p>
          <w:p>
            <w:pPr>
              <w:spacing w:line="280" w:lineRule="exact"/>
              <w:rPr>
                <w:rFonts w:hint="eastAsia" w:ascii="仿宋" w:hAnsi="仿宋" w:eastAsia="仿宋"/>
                <w:color w:val="000000"/>
                <w:sz w:val="24"/>
              </w:rPr>
            </w:pPr>
            <w:r>
              <w:rPr>
                <w:rFonts w:hint="eastAsia" w:ascii="仿宋" w:hAnsi="仿宋" w:eastAsia="仿宋"/>
                <w:color w:val="000000"/>
                <w:sz w:val="24"/>
              </w:rPr>
              <w:t>2.应向作业人员进行爆破交底。</w:t>
            </w:r>
          </w:p>
          <w:p>
            <w:pPr>
              <w:spacing w:line="280" w:lineRule="exact"/>
              <w:rPr>
                <w:color w:val="000000"/>
              </w:rPr>
            </w:pPr>
            <w:r>
              <w:rPr>
                <w:rFonts w:hint="eastAsia" w:ascii="仿宋" w:hAnsi="仿宋" w:eastAsia="仿宋"/>
                <w:color w:val="000000"/>
                <w:sz w:val="24"/>
              </w:rPr>
              <w:t>3.</w:t>
            </w:r>
            <w:r>
              <w:rPr>
                <w:rFonts w:hint="eastAsia" w:ascii="Calibri" w:hAnsi="Calibri" w:eastAsia="仿宋_GB2312"/>
                <w:color w:val="000000"/>
                <w:sz w:val="24"/>
              </w:rPr>
              <w:t>……</w:t>
            </w:r>
          </w:p>
          <w:p>
            <w:pPr>
              <w:spacing w:line="280" w:lineRule="exact"/>
              <w:rPr>
                <w:rFonts w:ascii="仿宋" w:hAnsi="仿宋" w:eastAsia="仿宋"/>
                <w:color w:val="000000"/>
                <w:sz w:val="24"/>
              </w:rPr>
            </w:pPr>
          </w:p>
        </w:tc>
        <w:tc>
          <w:tcPr>
            <w:tcW w:w="1910"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 爆破作业必须编制专门爆破设计方案，并履行审批程序。</w:t>
            </w:r>
          </w:p>
          <w:p>
            <w:pPr>
              <w:spacing w:line="280" w:lineRule="exact"/>
              <w:rPr>
                <w:rFonts w:ascii="仿宋" w:hAnsi="仿宋" w:eastAsia="仿宋"/>
                <w:color w:val="000000"/>
                <w:sz w:val="24"/>
              </w:rPr>
            </w:pPr>
            <w:r>
              <w:rPr>
                <w:rFonts w:hint="eastAsia" w:ascii="仿宋" w:hAnsi="仿宋" w:eastAsia="仿宋"/>
                <w:color w:val="000000"/>
                <w:sz w:val="24"/>
              </w:rPr>
              <w:t>2.按照相关要求组织进行爆破安全评估，A、B级爆破工程的安全应至少有3名具有相应作业级别和作业范围的爆破技术人员参加，复杂环境应邀请专家咨询。</w:t>
            </w:r>
          </w:p>
          <w:p>
            <w:pPr>
              <w:spacing w:line="280" w:lineRule="exact"/>
              <w:rPr>
                <w:rFonts w:ascii="仿宋" w:hAnsi="仿宋" w:eastAsia="仿宋"/>
                <w:color w:val="000000"/>
                <w:sz w:val="24"/>
              </w:rPr>
            </w:pPr>
            <w:r>
              <w:rPr>
                <w:rFonts w:hint="eastAsia" w:ascii="仿宋" w:hAnsi="仿宋" w:eastAsia="仿宋"/>
                <w:color w:val="000000"/>
                <w:sz w:val="24"/>
              </w:rPr>
              <w:t>3.A、B级及在城区、风景名胜区、距居民聚居区、重要设施500m范围内的爆破设计应经所在地设区的市级公安机关审批，未经审批不准开工。</w:t>
            </w:r>
          </w:p>
          <w:p>
            <w:pPr>
              <w:spacing w:line="280" w:lineRule="exact"/>
              <w:rPr>
                <w:rFonts w:ascii="仿宋" w:hAnsi="仿宋" w:eastAsia="仿宋"/>
                <w:color w:val="000000"/>
                <w:sz w:val="24"/>
              </w:rPr>
            </w:pPr>
            <w:r>
              <w:rPr>
                <w:rFonts w:hint="eastAsia" w:ascii="仿宋" w:hAnsi="仿宋" w:eastAsia="仿宋"/>
                <w:color w:val="000000"/>
                <w:sz w:val="24"/>
              </w:rPr>
              <w:t>4爆破前，爆破设计人员应向爆破作业人员进行方案交底，爆破技术人员进行安全技术交底。</w:t>
            </w:r>
          </w:p>
          <w:p>
            <w:pPr>
              <w:spacing w:line="280" w:lineRule="exact"/>
              <w:rPr>
                <w:rFonts w:hint="eastAsia" w:eastAsia="仿宋"/>
                <w:color w:val="000000"/>
              </w:rPr>
            </w:pPr>
            <w:r>
              <w:rPr>
                <w:rFonts w:ascii="仿宋" w:hAnsi="仿宋" w:eastAsia="仿宋"/>
                <w:color w:val="000000"/>
                <w:sz w:val="24"/>
              </w:rPr>
              <w:t>5</w:t>
            </w:r>
            <w:r>
              <w:rPr>
                <w:rFonts w:hint="eastAsia" w:ascii="仿宋" w:hAnsi="仿宋" w:eastAsia="仿宋"/>
                <w:color w:val="000000"/>
                <w:sz w:val="24"/>
              </w:rPr>
              <w:t>.……</w:t>
            </w:r>
          </w:p>
        </w:tc>
        <w:tc>
          <w:tcPr>
            <w:tcW w:w="475" w:type="pct"/>
            <w:noWrap w:val="0"/>
            <w:vAlign w:val="center"/>
          </w:tcPr>
          <w:p>
            <w:pPr>
              <w:spacing w:line="280" w:lineRule="exact"/>
              <w:rPr>
                <w:rFonts w:eastAsia="仿宋"/>
                <w:color w:val="000000"/>
                <w:sz w:val="24"/>
              </w:rPr>
            </w:pPr>
            <w:r>
              <w:rPr>
                <w:rFonts w:eastAsia="仿宋"/>
                <w:color w:val="000000"/>
                <w:sz w:val="24"/>
              </w:rPr>
              <w:t>原则上由爆破技术人员编制</w:t>
            </w:r>
            <w:r>
              <w:rPr>
                <w:rFonts w:hint="eastAsia" w:eastAsia="仿宋"/>
                <w:color w:val="000000"/>
                <w:sz w:val="24"/>
              </w:rPr>
              <w:t>，企业技术</w:t>
            </w:r>
            <w:r>
              <w:rPr>
                <w:rFonts w:eastAsia="仿宋"/>
                <w:color w:val="000000"/>
                <w:sz w:val="24"/>
              </w:rPr>
              <w:t>负责</w:t>
            </w:r>
            <w:r>
              <w:rPr>
                <w:rFonts w:hint="eastAsia" w:eastAsia="仿宋"/>
                <w:color w:val="000000"/>
                <w:sz w:val="24"/>
              </w:rPr>
              <w:t>人</w:t>
            </w:r>
            <w:r>
              <w:rPr>
                <w:rFonts w:eastAsia="仿宋"/>
                <w:color w:val="000000"/>
                <w:sz w:val="24"/>
              </w:rPr>
              <w:t>审核</w:t>
            </w:r>
            <w:r>
              <w:rPr>
                <w:rFonts w:hint="eastAsia" w:eastAsia="仿宋"/>
                <w:color w:val="000000"/>
                <w:sz w:val="24"/>
              </w:rPr>
              <w:t>。爆破单位项目总工负责方案交底，企业安全管理人员负责监督和复核。</w:t>
            </w:r>
          </w:p>
        </w:tc>
      </w:tr>
      <w:tr>
        <w:tc>
          <w:tcPr>
            <w:tcW w:w="304" w:type="pct"/>
            <w:noWrap w:val="0"/>
            <w:vAlign w:val="center"/>
          </w:tcPr>
          <w:p>
            <w:pPr>
              <w:spacing w:line="320" w:lineRule="exact"/>
              <w:jc w:val="center"/>
              <w:rPr>
                <w:rFonts w:eastAsia="黑体"/>
                <w:color w:val="000000"/>
                <w:sz w:val="24"/>
              </w:rPr>
            </w:pPr>
            <w:r>
              <w:rPr>
                <w:rFonts w:hint="eastAsia" w:eastAsia="黑体"/>
                <w:color w:val="000000"/>
                <w:sz w:val="24"/>
              </w:rPr>
              <w:t>7-3</w:t>
            </w:r>
          </w:p>
        </w:tc>
        <w:tc>
          <w:tcPr>
            <w:tcW w:w="514" w:type="pct"/>
            <w:noWrap w:val="0"/>
            <w:vAlign w:val="center"/>
          </w:tcPr>
          <w:p>
            <w:pPr>
              <w:spacing w:line="320" w:lineRule="exact"/>
              <w:jc w:val="center"/>
              <w:rPr>
                <w:rFonts w:eastAsia="黑体"/>
                <w:color w:val="000000"/>
                <w:sz w:val="24"/>
              </w:rPr>
            </w:pPr>
            <w:r>
              <w:rPr>
                <w:rFonts w:eastAsia="黑体"/>
                <w:color w:val="000000"/>
                <w:sz w:val="24"/>
              </w:rPr>
              <w:t>库房管理</w:t>
            </w:r>
          </w:p>
        </w:tc>
        <w:tc>
          <w:tcPr>
            <w:tcW w:w="797"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民爆物品管理不善，极易发生丢失、损坏甚至爆炸事故。</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民爆物品的库房必须符合安全条件。</w:t>
            </w:r>
          </w:p>
          <w:p>
            <w:pPr>
              <w:spacing w:line="280" w:lineRule="exact"/>
              <w:rPr>
                <w:rFonts w:ascii="仿宋" w:hAnsi="仿宋" w:eastAsia="仿宋"/>
                <w:color w:val="000000"/>
                <w:sz w:val="24"/>
              </w:rPr>
            </w:pPr>
            <w:r>
              <w:rPr>
                <w:rFonts w:hint="eastAsia" w:ascii="仿宋" w:hAnsi="仿宋" w:eastAsia="仿宋"/>
                <w:color w:val="000000"/>
                <w:sz w:val="24"/>
              </w:rPr>
              <w:t>2.建立库房监控系统、安全级应急管理体系。</w:t>
            </w:r>
          </w:p>
          <w:p>
            <w:pPr>
              <w:spacing w:line="280" w:lineRule="exact"/>
              <w:rPr>
                <w:color w:val="000000"/>
              </w:rPr>
            </w:pPr>
            <w:r>
              <w:rPr>
                <w:rFonts w:hint="eastAsia" w:ascii="仿宋" w:hAnsi="仿宋" w:eastAsia="仿宋"/>
                <w:color w:val="000000"/>
                <w:sz w:val="24"/>
              </w:rPr>
              <w:t>3.</w:t>
            </w:r>
            <w:r>
              <w:rPr>
                <w:rFonts w:hint="eastAsia" w:ascii="Calibri" w:hAnsi="Calibri" w:eastAsia="仿宋_GB2312"/>
                <w:color w:val="000000"/>
                <w:sz w:val="24"/>
              </w:rPr>
              <w:t>……</w:t>
            </w:r>
          </w:p>
          <w:p>
            <w:pPr>
              <w:spacing w:line="280" w:lineRule="exact"/>
              <w:rPr>
                <w:rFonts w:ascii="仿宋" w:hAnsi="仿宋" w:eastAsia="仿宋"/>
                <w:color w:val="000000"/>
                <w:sz w:val="24"/>
              </w:rPr>
            </w:pPr>
          </w:p>
        </w:tc>
        <w:tc>
          <w:tcPr>
            <w:tcW w:w="1910" w:type="pct"/>
            <w:noWrap w:val="0"/>
            <w:vAlign w:val="top"/>
          </w:tcPr>
          <w:p>
            <w:pPr>
              <w:spacing w:line="280" w:lineRule="exact"/>
              <w:rPr>
                <w:rFonts w:ascii="仿宋" w:hAnsi="仿宋" w:eastAsia="仿宋"/>
                <w:color w:val="000000"/>
                <w:sz w:val="24"/>
              </w:rPr>
            </w:pPr>
            <w:r>
              <w:rPr>
                <w:rFonts w:hint="eastAsia" w:ascii="仿宋" w:hAnsi="仿宋" w:eastAsia="仿宋"/>
                <w:color w:val="000000"/>
                <w:sz w:val="24"/>
              </w:rPr>
              <w:t>1.民爆物品的库房设施必须选址合适，远离人员密集场所及不良地质环境，并经当地公安机关审批，符合规范和企业安全条件要求。</w:t>
            </w:r>
          </w:p>
          <w:p>
            <w:pPr>
              <w:spacing w:line="280" w:lineRule="exact"/>
              <w:rPr>
                <w:rFonts w:ascii="仿宋" w:hAnsi="仿宋" w:eastAsia="仿宋"/>
                <w:color w:val="000000"/>
                <w:sz w:val="24"/>
              </w:rPr>
            </w:pPr>
            <w:r>
              <w:rPr>
                <w:rFonts w:hint="eastAsia" w:ascii="仿宋" w:hAnsi="仿宋" w:eastAsia="仿宋"/>
                <w:color w:val="000000"/>
                <w:sz w:val="24"/>
              </w:rPr>
              <w:t>2. 储存的民用爆炸物品数量不得超过储存设计容量，对性质相抵触的民用爆炸物品必须分库储存，严禁在库房内存放其他物品。</w:t>
            </w:r>
          </w:p>
          <w:p>
            <w:pPr>
              <w:spacing w:line="280" w:lineRule="exact"/>
              <w:rPr>
                <w:rFonts w:ascii="仿宋" w:hAnsi="仿宋" w:eastAsia="仿宋"/>
                <w:color w:val="000000"/>
                <w:sz w:val="24"/>
              </w:rPr>
            </w:pPr>
            <w:r>
              <w:rPr>
                <w:rFonts w:hint="eastAsia" w:ascii="仿宋" w:hAnsi="仿宋" w:eastAsia="仿宋"/>
                <w:color w:val="000000"/>
                <w:sz w:val="24"/>
              </w:rPr>
              <w:t>3.炸药、雷管必须分库储存，账、卡、物必须相符一致，严禁在库房内存放其他物品。</w:t>
            </w:r>
          </w:p>
          <w:p>
            <w:pPr>
              <w:spacing w:line="280" w:lineRule="exact"/>
              <w:rPr>
                <w:rFonts w:hint="eastAsia" w:ascii="仿宋" w:hAnsi="仿宋" w:eastAsia="仿宋"/>
                <w:color w:val="000000"/>
                <w:sz w:val="24"/>
              </w:rPr>
            </w:pPr>
            <w:r>
              <w:rPr>
                <w:rFonts w:hint="eastAsia" w:ascii="仿宋" w:hAnsi="仿宋" w:eastAsia="仿宋"/>
                <w:color w:val="000000"/>
                <w:sz w:val="24"/>
              </w:rPr>
              <w:t>4.对库房按要求进行巡查，及时消除洪汛、通风、外界入侵等方面隐患。</w:t>
            </w:r>
          </w:p>
          <w:p>
            <w:pPr>
              <w:spacing w:line="280" w:lineRule="exact"/>
              <w:rPr>
                <w:rFonts w:ascii="仿宋" w:hAnsi="仿宋" w:eastAsia="仿宋"/>
                <w:color w:val="000000"/>
                <w:sz w:val="24"/>
              </w:rPr>
            </w:pPr>
            <w:r>
              <w:rPr>
                <w:rFonts w:hint="eastAsia" w:ascii="仿宋" w:hAnsi="仿宋" w:eastAsia="仿宋"/>
                <w:color w:val="000000"/>
                <w:sz w:val="24"/>
              </w:rPr>
              <w:t>5.民用爆炸物品丢失、被盗、被抢，应当立即报告当地公安机关。</w:t>
            </w:r>
            <w:r>
              <w:rPr>
                <w:rFonts w:hint="eastAsia" w:ascii="仿宋" w:hAnsi="仿宋" w:eastAsia="仿宋"/>
                <w:color w:val="000000"/>
                <w:sz w:val="24"/>
              </w:rPr>
              <w:br w:type="textWrapping"/>
            </w:r>
            <w:r>
              <w:rPr>
                <w:rFonts w:hint="eastAsia" w:ascii="仿宋" w:hAnsi="仿宋" w:eastAsia="仿宋"/>
                <w:color w:val="000000"/>
                <w:sz w:val="24"/>
              </w:rPr>
              <w:t>6.在爆破作业现场临时存放民用爆炸物品时，应当具备临时存放民用爆炸物品的条件，并设专人管理、看护，不得在不具备安全存放条件的场所存放民用爆炸物品。</w:t>
            </w:r>
            <w:r>
              <w:rPr>
                <w:rFonts w:hint="eastAsia" w:ascii="仿宋" w:hAnsi="仿宋" w:eastAsia="仿宋"/>
                <w:color w:val="000000"/>
                <w:sz w:val="24"/>
              </w:rPr>
              <w:br w:type="textWrapping"/>
            </w:r>
            <w:r>
              <w:rPr>
                <w:rFonts w:hint="eastAsia" w:ascii="仿宋" w:hAnsi="仿宋" w:eastAsia="仿宋"/>
                <w:color w:val="000000"/>
                <w:sz w:val="24"/>
              </w:rPr>
              <w:t>7.民用爆炸物品变质和过期失效的，应当及时清理出库，并予以销毁。销毁前应当登记造册，提出销毁实施方案，报省、自治区、直辖市国防科技工业主管部门、所在地县级公安部门组织监督销毁。</w:t>
            </w:r>
          </w:p>
          <w:p>
            <w:pPr>
              <w:pStyle w:val="14"/>
              <w:ind w:firstLine="0" w:firstLineChars="0"/>
              <w:rPr>
                <w:rFonts w:hint="eastAsia" w:eastAsia="仿宋"/>
                <w:color w:val="000000"/>
              </w:rPr>
            </w:pPr>
            <w:r>
              <w:rPr>
                <w:rFonts w:ascii="仿宋" w:hAnsi="仿宋" w:eastAsia="仿宋"/>
                <w:color w:val="000000"/>
                <w:sz w:val="24"/>
              </w:rPr>
              <w:t>8</w:t>
            </w:r>
            <w:r>
              <w:rPr>
                <w:rFonts w:hint="eastAsia" w:ascii="仿宋" w:hAnsi="仿宋" w:eastAsia="仿宋"/>
                <w:color w:val="000000"/>
                <w:sz w:val="24"/>
              </w:rPr>
              <w:t>.……</w:t>
            </w:r>
          </w:p>
        </w:tc>
        <w:tc>
          <w:tcPr>
            <w:tcW w:w="475"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库房管理员负责日常管理。库房保卫人员负责保卫和消防工作。企业安全管理人员负责监督。</w:t>
            </w:r>
          </w:p>
        </w:tc>
      </w:tr>
      <w:tr>
        <w:tc>
          <w:tcPr>
            <w:tcW w:w="304" w:type="pct"/>
            <w:noWrap w:val="0"/>
            <w:vAlign w:val="center"/>
          </w:tcPr>
          <w:p>
            <w:pPr>
              <w:spacing w:line="320" w:lineRule="exact"/>
              <w:jc w:val="center"/>
              <w:rPr>
                <w:rFonts w:eastAsia="黑体"/>
                <w:color w:val="000000"/>
                <w:sz w:val="24"/>
              </w:rPr>
            </w:pPr>
            <w:r>
              <w:rPr>
                <w:rFonts w:hint="eastAsia" w:eastAsia="黑体"/>
                <w:color w:val="000000"/>
                <w:sz w:val="24"/>
              </w:rPr>
              <w:t>7-4</w:t>
            </w:r>
          </w:p>
        </w:tc>
        <w:tc>
          <w:tcPr>
            <w:tcW w:w="514" w:type="pct"/>
            <w:noWrap w:val="0"/>
            <w:vAlign w:val="center"/>
          </w:tcPr>
          <w:p>
            <w:pPr>
              <w:spacing w:line="320" w:lineRule="exact"/>
              <w:jc w:val="center"/>
              <w:rPr>
                <w:rFonts w:hint="eastAsia" w:eastAsia="黑体"/>
                <w:color w:val="000000"/>
                <w:sz w:val="24"/>
                <w:lang w:eastAsia="zh-CN"/>
              </w:rPr>
            </w:pPr>
            <w:r>
              <w:rPr>
                <w:rFonts w:eastAsia="黑体"/>
                <w:color w:val="000000"/>
                <w:sz w:val="24"/>
              </w:rPr>
              <w:t>申领</w:t>
            </w:r>
            <w:r>
              <w:rPr>
                <w:rFonts w:hint="eastAsia" w:eastAsia="黑体"/>
                <w:color w:val="000000"/>
                <w:sz w:val="24"/>
              </w:rPr>
              <w:t>、</w:t>
            </w:r>
            <w:r>
              <w:rPr>
                <w:rFonts w:eastAsia="黑体"/>
                <w:color w:val="000000"/>
                <w:sz w:val="24"/>
              </w:rPr>
              <w:t>发放及运输</w:t>
            </w:r>
            <w:r>
              <w:rPr>
                <w:rFonts w:hint="eastAsia" w:eastAsia="黑体"/>
                <w:color w:val="000000"/>
                <w:sz w:val="24"/>
                <w:lang w:eastAsia="zh-CN"/>
              </w:rPr>
              <w:t>。</w:t>
            </w:r>
          </w:p>
        </w:tc>
        <w:tc>
          <w:tcPr>
            <w:tcW w:w="797"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申领、发放及运输过程管理不善，极易造成民爆物品丢失甚至爆炸事故发生</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1.民爆物品的申领必须经过审批。</w:t>
            </w:r>
          </w:p>
          <w:p>
            <w:pPr>
              <w:spacing w:line="280" w:lineRule="exact"/>
              <w:rPr>
                <w:rFonts w:ascii="仿宋" w:hAnsi="仿宋" w:eastAsia="仿宋"/>
                <w:color w:val="000000"/>
                <w:sz w:val="24"/>
              </w:rPr>
            </w:pPr>
            <w:r>
              <w:rPr>
                <w:rFonts w:hint="eastAsia" w:ascii="仿宋" w:hAnsi="仿宋" w:eastAsia="仿宋"/>
                <w:color w:val="000000"/>
                <w:sz w:val="24"/>
              </w:rPr>
              <w:t>2.发放过程必须确认无误。</w:t>
            </w:r>
          </w:p>
          <w:p>
            <w:pPr>
              <w:spacing w:line="280" w:lineRule="exact"/>
              <w:rPr>
                <w:rFonts w:hint="eastAsia" w:ascii="仿宋" w:hAnsi="仿宋" w:eastAsia="仿宋"/>
                <w:color w:val="000000"/>
                <w:sz w:val="24"/>
              </w:rPr>
            </w:pPr>
            <w:r>
              <w:rPr>
                <w:rFonts w:hint="eastAsia" w:ascii="仿宋" w:hAnsi="仿宋" w:eastAsia="仿宋"/>
                <w:color w:val="000000"/>
                <w:sz w:val="24"/>
              </w:rPr>
              <w:t>3.运输过程中必须使用专用车辆，炸药、雷管必须用专用车辆分开运输。</w:t>
            </w:r>
          </w:p>
          <w:p>
            <w:pPr>
              <w:spacing w:line="280" w:lineRule="exact"/>
              <w:rPr>
                <w:color w:val="000000"/>
              </w:rPr>
            </w:pPr>
            <w:r>
              <w:rPr>
                <w:rFonts w:hint="eastAsia" w:ascii="仿宋" w:hAnsi="仿宋" w:eastAsia="仿宋"/>
                <w:color w:val="000000"/>
                <w:sz w:val="24"/>
              </w:rPr>
              <w:t>4.</w:t>
            </w:r>
            <w:r>
              <w:rPr>
                <w:rFonts w:hint="eastAsia" w:ascii="Calibri" w:hAnsi="Calibri" w:eastAsia="仿宋_GB2312"/>
                <w:color w:val="000000"/>
                <w:sz w:val="24"/>
              </w:rPr>
              <w:t>……</w:t>
            </w:r>
          </w:p>
          <w:p>
            <w:pPr>
              <w:spacing w:line="280" w:lineRule="exact"/>
              <w:rPr>
                <w:rFonts w:ascii="仿宋" w:hAnsi="仿宋" w:eastAsia="仿宋"/>
                <w:color w:val="000000"/>
                <w:sz w:val="24"/>
              </w:rPr>
            </w:pPr>
          </w:p>
        </w:tc>
        <w:tc>
          <w:tcPr>
            <w:tcW w:w="1910" w:type="pct"/>
            <w:noWrap w:val="0"/>
            <w:vAlign w:val="top"/>
          </w:tcPr>
          <w:p>
            <w:pPr>
              <w:spacing w:line="280" w:lineRule="exact"/>
              <w:rPr>
                <w:rFonts w:ascii="仿宋" w:hAnsi="仿宋" w:eastAsia="仿宋"/>
                <w:color w:val="000000"/>
                <w:sz w:val="24"/>
              </w:rPr>
            </w:pPr>
            <w:r>
              <w:rPr>
                <w:rFonts w:hint="eastAsia" w:ascii="仿宋" w:hAnsi="仿宋" w:eastAsia="仿宋"/>
                <w:color w:val="000000"/>
                <w:sz w:val="24"/>
              </w:rPr>
              <w:t>1.民用爆炸物品领用必须由现场管理人员申请，申请单样式应由爆破作业项目上级单位统一制订；</w:t>
            </w:r>
          </w:p>
          <w:p>
            <w:pPr>
              <w:spacing w:line="280" w:lineRule="exact"/>
              <w:rPr>
                <w:rFonts w:ascii="仿宋" w:hAnsi="仿宋" w:eastAsia="仿宋"/>
                <w:color w:val="000000"/>
                <w:sz w:val="24"/>
              </w:rPr>
            </w:pPr>
            <w:r>
              <w:rPr>
                <w:rFonts w:hint="eastAsia" w:ascii="仿宋" w:hAnsi="仿宋" w:eastAsia="仿宋"/>
                <w:color w:val="000000"/>
                <w:sz w:val="24"/>
              </w:rPr>
              <w:t>2.民用爆炸物品领用必须经在公安机关备案的项目负责人或受其委托的专人2人以上审批签字；</w:t>
            </w:r>
          </w:p>
          <w:p>
            <w:pPr>
              <w:spacing w:line="280" w:lineRule="exact"/>
              <w:rPr>
                <w:rFonts w:ascii="仿宋" w:hAnsi="仿宋" w:eastAsia="仿宋"/>
                <w:color w:val="000000"/>
                <w:sz w:val="24"/>
              </w:rPr>
            </w:pPr>
            <w:r>
              <w:rPr>
                <w:rFonts w:hint="eastAsia" w:ascii="仿宋" w:hAnsi="仿宋" w:eastAsia="仿宋"/>
                <w:color w:val="000000"/>
                <w:sz w:val="24"/>
              </w:rPr>
              <w:t>3.领取民用爆炸物品的数量不得超过当班用量和审批数量。</w:t>
            </w:r>
          </w:p>
          <w:p>
            <w:pPr>
              <w:spacing w:line="280" w:lineRule="exact"/>
              <w:rPr>
                <w:rFonts w:ascii="仿宋" w:hAnsi="仿宋" w:eastAsia="仿宋"/>
                <w:color w:val="000000"/>
                <w:sz w:val="24"/>
              </w:rPr>
            </w:pPr>
            <w:r>
              <w:rPr>
                <w:rFonts w:hint="eastAsia" w:ascii="仿宋" w:hAnsi="仿宋" w:eastAsia="仿宋"/>
                <w:color w:val="000000"/>
                <w:sz w:val="24"/>
              </w:rPr>
              <w:t>4.保管员和领用人员必须互相确认领用爆破器材的品种、数量、编号等。</w:t>
            </w:r>
          </w:p>
          <w:p>
            <w:pPr>
              <w:spacing w:line="280" w:lineRule="exact"/>
              <w:rPr>
                <w:rFonts w:ascii="仿宋" w:hAnsi="仿宋" w:eastAsia="仿宋"/>
                <w:color w:val="000000"/>
                <w:sz w:val="24"/>
              </w:rPr>
            </w:pPr>
            <w:r>
              <w:rPr>
                <w:rFonts w:hint="eastAsia" w:ascii="仿宋" w:hAnsi="仿宋" w:eastAsia="仿宋"/>
                <w:color w:val="000000"/>
                <w:sz w:val="24"/>
              </w:rPr>
              <w:t>5.必须确认申领爆破器材在批准的指定场所内使用才可发放。</w:t>
            </w:r>
          </w:p>
          <w:p>
            <w:pPr>
              <w:spacing w:line="280" w:lineRule="exact"/>
              <w:rPr>
                <w:rFonts w:ascii="仿宋" w:hAnsi="仿宋" w:eastAsia="仿宋"/>
                <w:color w:val="000000"/>
                <w:sz w:val="24"/>
              </w:rPr>
            </w:pPr>
            <w:r>
              <w:rPr>
                <w:rFonts w:hint="eastAsia" w:ascii="仿宋" w:hAnsi="仿宋" w:eastAsia="仿宋"/>
                <w:color w:val="000000"/>
                <w:sz w:val="24"/>
              </w:rPr>
              <w:t>6.押运人员必须由持证人员担任，并在发放单上签字；严禁一人多机多卡发放爆破器材。</w:t>
            </w:r>
          </w:p>
          <w:p>
            <w:pPr>
              <w:spacing w:line="280" w:lineRule="exact"/>
              <w:rPr>
                <w:rFonts w:hint="eastAsia" w:ascii="仿宋" w:hAnsi="仿宋" w:eastAsia="仿宋"/>
                <w:color w:val="000000"/>
                <w:sz w:val="24"/>
              </w:rPr>
            </w:pPr>
            <w:r>
              <w:rPr>
                <w:rFonts w:hint="eastAsia" w:ascii="仿宋" w:hAnsi="仿宋" w:eastAsia="仿宋"/>
                <w:color w:val="000000"/>
                <w:sz w:val="24"/>
              </w:rPr>
              <w:t>7.运输车辆及驾驶人员必须是经公安机关核准备案的专用车辆和人员，专人押送，炸药、雷管必须用专用车辆分开运输，严禁和其它物品混装；无关人员严禁搭乘运送车辆；车辆应按指定路线行驶，途中因故障停留必须立即报告，设警示标志，由专人看守。</w:t>
            </w:r>
          </w:p>
          <w:p>
            <w:pPr>
              <w:spacing w:line="280" w:lineRule="exact"/>
              <w:rPr>
                <w:rFonts w:hint="eastAsia" w:ascii="仿宋" w:hAnsi="仿宋" w:eastAsia="仿宋"/>
                <w:color w:val="000000"/>
                <w:sz w:val="24"/>
              </w:rPr>
            </w:pPr>
            <w:r>
              <w:rPr>
                <w:rFonts w:hint="eastAsia" w:ascii="仿宋" w:hAnsi="仿宋" w:eastAsia="仿宋"/>
                <w:color w:val="000000"/>
                <w:sz w:val="24"/>
              </w:rPr>
              <w:t>8.</w:t>
            </w:r>
            <w:r>
              <w:rPr>
                <w:rFonts w:hint="eastAsia" w:ascii="Calibri" w:hAnsi="Calibri" w:eastAsia="仿宋_GB2312"/>
                <w:color w:val="000000"/>
                <w:sz w:val="24"/>
              </w:rPr>
              <w:t>……</w:t>
            </w:r>
          </w:p>
        </w:tc>
        <w:tc>
          <w:tcPr>
            <w:tcW w:w="475" w:type="pct"/>
            <w:noWrap w:val="0"/>
            <w:vAlign w:val="center"/>
          </w:tcPr>
          <w:p>
            <w:pPr>
              <w:spacing w:line="280" w:lineRule="exact"/>
              <w:rPr>
                <w:rFonts w:hint="eastAsia" w:ascii="仿宋" w:hAnsi="仿宋" w:eastAsia="仿宋"/>
                <w:color w:val="000000"/>
                <w:sz w:val="24"/>
                <w:lang w:eastAsia="zh-CN"/>
              </w:rPr>
            </w:pPr>
            <w:r>
              <w:rPr>
                <w:rFonts w:eastAsia="仿宋"/>
                <w:color w:val="000000"/>
                <w:sz w:val="24"/>
              </w:rPr>
              <w:t>项目涉爆人员</w:t>
            </w:r>
            <w:r>
              <w:rPr>
                <w:rFonts w:hint="eastAsia" w:eastAsia="仿宋"/>
                <w:color w:val="000000"/>
                <w:sz w:val="24"/>
              </w:rPr>
              <w:t>、现场管理人员、</w:t>
            </w:r>
            <w:r>
              <w:rPr>
                <w:rFonts w:eastAsia="仿宋"/>
                <w:color w:val="000000"/>
                <w:sz w:val="24"/>
              </w:rPr>
              <w:t>安全员</w:t>
            </w:r>
            <w:r>
              <w:rPr>
                <w:rFonts w:hint="eastAsia" w:eastAsia="仿宋"/>
                <w:color w:val="000000"/>
                <w:sz w:val="24"/>
              </w:rPr>
              <w:t>、</w:t>
            </w:r>
            <w:r>
              <w:rPr>
                <w:rFonts w:eastAsia="仿宋"/>
                <w:color w:val="000000"/>
                <w:sz w:val="24"/>
              </w:rPr>
              <w:t>项目</w:t>
            </w:r>
            <w:r>
              <w:rPr>
                <w:rFonts w:hint="eastAsia" w:eastAsia="仿宋"/>
                <w:color w:val="000000"/>
                <w:sz w:val="24"/>
              </w:rPr>
              <w:t>负责人</w:t>
            </w:r>
            <w:r>
              <w:rPr>
                <w:rFonts w:eastAsia="仿宋"/>
                <w:color w:val="000000"/>
                <w:sz w:val="24"/>
              </w:rPr>
              <w:t>等负责</w:t>
            </w:r>
            <w:r>
              <w:rPr>
                <w:rFonts w:hint="eastAsia" w:eastAsia="仿宋"/>
                <w:color w:val="000000"/>
                <w:sz w:val="24"/>
                <w:lang w:eastAsia="zh-CN"/>
              </w:rPr>
              <w:t>。</w:t>
            </w:r>
          </w:p>
        </w:tc>
      </w:tr>
      <w:tr>
        <w:tc>
          <w:tcPr>
            <w:tcW w:w="304" w:type="pct"/>
            <w:noWrap w:val="0"/>
            <w:vAlign w:val="center"/>
          </w:tcPr>
          <w:p>
            <w:pPr>
              <w:spacing w:line="320" w:lineRule="exact"/>
              <w:jc w:val="center"/>
              <w:rPr>
                <w:rFonts w:eastAsia="黑体"/>
                <w:color w:val="000000"/>
                <w:sz w:val="24"/>
              </w:rPr>
            </w:pPr>
            <w:r>
              <w:rPr>
                <w:rFonts w:hint="eastAsia" w:eastAsia="黑体"/>
                <w:color w:val="000000"/>
                <w:sz w:val="24"/>
              </w:rPr>
              <w:t>7-5</w:t>
            </w:r>
          </w:p>
        </w:tc>
        <w:tc>
          <w:tcPr>
            <w:tcW w:w="514" w:type="pct"/>
            <w:noWrap w:val="0"/>
            <w:vAlign w:val="center"/>
          </w:tcPr>
          <w:p>
            <w:pPr>
              <w:spacing w:line="320" w:lineRule="exact"/>
              <w:jc w:val="center"/>
              <w:rPr>
                <w:rFonts w:eastAsia="黑体"/>
                <w:color w:val="000000"/>
                <w:sz w:val="24"/>
              </w:rPr>
            </w:pPr>
            <w:r>
              <w:rPr>
                <w:rFonts w:hint="eastAsia" w:eastAsia="黑体"/>
                <w:color w:val="000000"/>
                <w:sz w:val="24"/>
              </w:rPr>
              <w:t>爆破施工管理</w:t>
            </w:r>
          </w:p>
        </w:tc>
        <w:tc>
          <w:tcPr>
            <w:tcW w:w="797" w:type="pct"/>
            <w:noWrap w:val="0"/>
            <w:vAlign w:val="center"/>
          </w:tcPr>
          <w:p>
            <w:pPr>
              <w:spacing w:line="280" w:lineRule="exact"/>
              <w:jc w:val="both"/>
              <w:rPr>
                <w:rFonts w:hint="eastAsia" w:ascii="仿宋" w:hAnsi="仿宋" w:eastAsia="仿宋"/>
                <w:color w:val="000000"/>
                <w:sz w:val="24"/>
                <w:lang w:eastAsia="zh-CN"/>
              </w:rPr>
            </w:pPr>
            <w:r>
              <w:rPr>
                <w:rFonts w:hint="eastAsia" w:ascii="仿宋" w:hAnsi="仿宋" w:eastAsia="仿宋"/>
                <w:color w:val="000000"/>
                <w:sz w:val="24"/>
              </w:rPr>
              <w:t>爆破施工现场管理不规范，岗位人员违反操作规程极易发生爆炸等事故</w:t>
            </w:r>
            <w:r>
              <w:rPr>
                <w:rFonts w:hint="eastAsia" w:ascii="仿宋" w:hAnsi="仿宋" w:eastAsia="仿宋"/>
                <w:color w:val="000000"/>
                <w:sz w:val="24"/>
                <w:lang w:eastAsia="zh-CN"/>
              </w:rPr>
              <w:t>。</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1、做好爆破施工前的现场调查，制定相应的安全措施，设置警戒。</w:t>
            </w:r>
          </w:p>
          <w:p>
            <w:pPr>
              <w:spacing w:line="280" w:lineRule="exac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装药前检查验收炮孔质量，强化爆破施工过程的安全监督，确保施工符合相关规范要求。</w:t>
            </w:r>
          </w:p>
          <w:p>
            <w:pPr>
              <w:spacing w:line="280" w:lineRule="exact"/>
              <w:rPr>
                <w:rFonts w:ascii="仿宋" w:hAnsi="仿宋" w:eastAsia="仿宋"/>
                <w:color w:val="000000"/>
                <w:sz w:val="24"/>
              </w:rPr>
            </w:pPr>
            <w:r>
              <w:rPr>
                <w:rFonts w:hint="eastAsia" w:ascii="仿宋" w:hAnsi="仿宋" w:eastAsia="仿宋"/>
                <w:color w:val="000000"/>
                <w:sz w:val="24"/>
              </w:rPr>
              <w:t>3.装药、过程应严格按方案要求执行。</w:t>
            </w:r>
          </w:p>
          <w:p>
            <w:pPr>
              <w:spacing w:line="280" w:lineRule="exact"/>
              <w:rPr>
                <w:rFonts w:hint="eastAsia" w:ascii="仿宋" w:hAnsi="仿宋" w:eastAsia="仿宋"/>
                <w:color w:val="000000"/>
                <w:sz w:val="24"/>
              </w:rPr>
            </w:pPr>
            <w:r>
              <w:rPr>
                <w:rFonts w:hint="eastAsia" w:ascii="仿宋" w:hAnsi="仿宋" w:eastAsia="仿宋"/>
                <w:color w:val="000000"/>
                <w:sz w:val="24"/>
              </w:rPr>
              <w:t>4.起爆前应预警，撤离人员，确认安全后方可起爆。</w:t>
            </w:r>
          </w:p>
          <w:p>
            <w:pPr>
              <w:pStyle w:val="14"/>
              <w:ind w:firstLine="0" w:firstLineChars="0"/>
              <w:rPr>
                <w:rFonts w:hint="eastAsia"/>
                <w:color w:val="000000"/>
              </w:rPr>
            </w:pPr>
            <w:r>
              <w:rPr>
                <w:rFonts w:ascii="仿宋" w:hAnsi="仿宋" w:eastAsia="仿宋"/>
                <w:color w:val="000000"/>
                <w:sz w:val="24"/>
              </w:rPr>
              <w:t>5</w:t>
            </w:r>
            <w:r>
              <w:rPr>
                <w:rFonts w:hint="eastAsia" w:ascii="仿宋" w:hAnsi="仿宋" w:eastAsia="仿宋"/>
                <w:color w:val="000000"/>
                <w:sz w:val="24"/>
                <w:lang w:val="en-US" w:eastAsia="zh-CN"/>
              </w:rPr>
              <w:t>.</w:t>
            </w:r>
            <w:r>
              <w:rPr>
                <w:rFonts w:hint="eastAsia" w:ascii="仿宋" w:hAnsi="仿宋" w:eastAsia="仿宋"/>
                <w:color w:val="000000"/>
                <w:sz w:val="24"/>
              </w:rPr>
              <w:t>……</w:t>
            </w:r>
          </w:p>
        </w:tc>
        <w:tc>
          <w:tcPr>
            <w:tcW w:w="1910" w:type="pct"/>
            <w:noWrap w:val="0"/>
            <w:vAlign w:val="top"/>
          </w:tcPr>
          <w:p>
            <w:pPr>
              <w:spacing w:line="280" w:lineRule="exact"/>
              <w:rPr>
                <w:rFonts w:ascii="仿宋" w:hAnsi="仿宋" w:eastAsia="仿宋"/>
                <w:color w:val="000000"/>
                <w:sz w:val="24"/>
              </w:rPr>
            </w:pPr>
            <w:r>
              <w:rPr>
                <w:rFonts w:hint="eastAsia" w:ascii="仿宋" w:hAnsi="仿宋" w:eastAsia="仿宋"/>
                <w:color w:val="000000"/>
                <w:sz w:val="24"/>
              </w:rPr>
              <w:t>1.人工搬运爆破器材时，雷管、炸药必须分别放在专用背包（木箱）内，搬运人员之间必须保证足够安全距离，不得一人同时携带雷管和炸药。遇暴雨、雷电、大雾等恶劣天气必须停止运输和装卸作业。</w:t>
            </w:r>
          </w:p>
          <w:p>
            <w:pPr>
              <w:spacing w:line="280" w:lineRule="exact"/>
              <w:rPr>
                <w:rFonts w:ascii="仿宋" w:hAnsi="仿宋" w:eastAsia="仿宋"/>
                <w:color w:val="000000"/>
                <w:sz w:val="24"/>
              </w:rPr>
            </w:pPr>
            <w:r>
              <w:rPr>
                <w:rFonts w:hint="eastAsia" w:ascii="仿宋" w:hAnsi="仿宋" w:eastAsia="仿宋"/>
                <w:color w:val="000000"/>
                <w:sz w:val="24"/>
              </w:rPr>
              <w:t>2.爆破器材运至现场后必须清点复核品种、数量、规格，设置临时加工地点，设置防爆箱，设置警戒区，且严禁无关人员靠近；临时加工存放的雷管、炸药必须保证足够安全距离，有专人看管，临时加工存放不得超过30分钟。</w:t>
            </w:r>
          </w:p>
          <w:p>
            <w:pPr>
              <w:spacing w:line="280" w:lineRule="exact"/>
              <w:rPr>
                <w:rFonts w:ascii="仿宋" w:hAnsi="仿宋" w:eastAsia="仿宋"/>
                <w:color w:val="000000"/>
                <w:sz w:val="24"/>
              </w:rPr>
            </w:pPr>
            <w:r>
              <w:rPr>
                <w:rFonts w:hint="eastAsia" w:ascii="仿宋" w:hAnsi="仿宋" w:eastAsia="仿宋"/>
                <w:color w:val="000000"/>
                <w:sz w:val="24"/>
              </w:rPr>
              <w:t>３.制定通讯联络制度，爆破施工现场、起爆站、主要警戒哨建立并保持可靠的通讯联络。</w:t>
            </w:r>
          </w:p>
          <w:p>
            <w:pPr>
              <w:spacing w:line="280" w:lineRule="exact"/>
              <w:rPr>
                <w:rFonts w:ascii="仿宋" w:hAnsi="仿宋" w:eastAsia="仿宋"/>
                <w:color w:val="000000"/>
                <w:sz w:val="24"/>
              </w:rPr>
            </w:pPr>
            <w:r>
              <w:rPr>
                <w:rFonts w:hint="eastAsia" w:ascii="仿宋" w:hAnsi="仿宋" w:eastAsia="仿宋"/>
                <w:color w:val="000000"/>
                <w:sz w:val="24"/>
              </w:rPr>
              <w:t>４.装药前对炮孔、硐室、爆炸器材逐个进行验收，作好记录并保存。经公安机关审批的爆破作业项目施工验收，应有爆破设计人员参加。</w:t>
            </w:r>
          </w:p>
          <w:p>
            <w:pPr>
              <w:spacing w:line="280" w:lineRule="exact"/>
              <w:rPr>
                <w:rFonts w:ascii="仿宋" w:hAnsi="仿宋" w:eastAsia="仿宋"/>
                <w:color w:val="000000"/>
                <w:sz w:val="24"/>
              </w:rPr>
            </w:pPr>
            <w:r>
              <w:rPr>
                <w:rFonts w:hint="eastAsia" w:ascii="仿宋" w:hAnsi="仿宋" w:eastAsia="仿宋"/>
                <w:color w:val="000000"/>
                <w:sz w:val="24"/>
              </w:rPr>
              <w:t xml:space="preserve">５.爆破工程使用的炸药、雷管、导爆管、导爆索、电线、起爆器、量测仪表均应作现场检测，检测合格后方可使用。 </w:t>
            </w:r>
          </w:p>
          <w:p>
            <w:pPr>
              <w:spacing w:line="280" w:lineRule="exact"/>
              <w:rPr>
                <w:rFonts w:ascii="仿宋" w:hAnsi="仿宋" w:eastAsia="仿宋"/>
                <w:color w:val="000000"/>
                <w:sz w:val="24"/>
              </w:rPr>
            </w:pPr>
            <w:r>
              <w:rPr>
                <w:rFonts w:hint="eastAsia" w:ascii="仿宋" w:hAnsi="仿宋" w:eastAsia="仿宋"/>
                <w:color w:val="000000"/>
                <w:sz w:val="24"/>
              </w:rPr>
              <w:t>６.严格按方案或规定施工，整个施工过程应在警戒区边界设置明显标识并派出岗哨。</w:t>
            </w:r>
          </w:p>
          <w:p>
            <w:pPr>
              <w:spacing w:line="280" w:lineRule="exact"/>
              <w:rPr>
                <w:rFonts w:ascii="仿宋" w:hAnsi="仿宋" w:eastAsia="仿宋"/>
                <w:color w:val="000000"/>
                <w:sz w:val="24"/>
              </w:rPr>
            </w:pPr>
            <w:r>
              <w:rPr>
                <w:rFonts w:hint="eastAsia" w:ascii="仿宋" w:hAnsi="仿宋" w:eastAsia="仿宋"/>
                <w:color w:val="000000"/>
                <w:sz w:val="24"/>
              </w:rPr>
              <w:t>７.爆破施工经质量验收合格后，方可进入施工警戒。</w:t>
            </w:r>
          </w:p>
          <w:p>
            <w:pPr>
              <w:spacing w:line="280" w:lineRule="exact"/>
              <w:rPr>
                <w:rFonts w:ascii="仿宋" w:hAnsi="仿宋" w:eastAsia="仿宋"/>
                <w:color w:val="000000"/>
                <w:sz w:val="24"/>
              </w:rPr>
            </w:pPr>
            <w:r>
              <w:rPr>
                <w:rFonts w:hint="eastAsia" w:ascii="仿宋" w:hAnsi="仿宋" w:eastAsia="仿宋"/>
                <w:color w:val="000000"/>
                <w:sz w:val="24"/>
              </w:rPr>
              <w:t>８.爆破现场负责人确认安全后发出爆破指令，爆破员进行起爆。</w:t>
            </w:r>
          </w:p>
          <w:p>
            <w:pPr>
              <w:spacing w:line="280" w:lineRule="exact"/>
              <w:rPr>
                <w:rFonts w:ascii="仿宋" w:hAnsi="仿宋" w:eastAsia="仿宋"/>
                <w:color w:val="000000"/>
                <w:sz w:val="24"/>
              </w:rPr>
            </w:pPr>
            <w:r>
              <w:rPr>
                <w:rFonts w:hint="eastAsia" w:ascii="仿宋" w:hAnsi="仿宋" w:eastAsia="仿宋"/>
                <w:color w:val="000000"/>
                <w:sz w:val="24"/>
              </w:rPr>
              <w:t>9</w:t>
            </w:r>
            <w:r>
              <w:rPr>
                <w:rFonts w:ascii="仿宋" w:hAnsi="仿宋" w:eastAsia="仿宋"/>
                <w:color w:val="000000"/>
                <w:sz w:val="24"/>
              </w:rPr>
              <w:t>.</w:t>
            </w:r>
            <w:r>
              <w:rPr>
                <w:rFonts w:hint="eastAsia" w:ascii="Calibri" w:hAnsi="Calibri" w:eastAsia="仿宋_GB2312"/>
                <w:color w:val="000000"/>
                <w:sz w:val="24"/>
              </w:rPr>
              <w:t xml:space="preserve"> ……</w:t>
            </w:r>
          </w:p>
        </w:tc>
        <w:tc>
          <w:tcPr>
            <w:tcW w:w="475" w:type="pct"/>
            <w:noWrap w:val="0"/>
            <w:vAlign w:val="center"/>
          </w:tcPr>
          <w:p>
            <w:pPr>
              <w:spacing w:line="280" w:lineRule="exact"/>
              <w:jc w:val="left"/>
              <w:rPr>
                <w:rFonts w:hint="eastAsia" w:ascii="仿宋" w:hAnsi="仿宋" w:eastAsia="仿宋"/>
                <w:color w:val="000000"/>
                <w:sz w:val="24"/>
                <w:lang w:eastAsia="zh-CN"/>
              </w:rPr>
            </w:pPr>
            <w:r>
              <w:rPr>
                <w:rFonts w:hint="eastAsia" w:ascii="仿宋" w:hAnsi="仿宋" w:eastAsia="仿宋"/>
                <w:color w:val="000000"/>
                <w:sz w:val="24"/>
              </w:rPr>
              <w:t>项目现场管理人员、爆破技术人员、爆破员、安全员等按照岗位职责履职</w:t>
            </w:r>
            <w:r>
              <w:rPr>
                <w:rFonts w:hint="eastAsia" w:ascii="仿宋" w:hAnsi="仿宋" w:eastAsia="仿宋"/>
                <w:color w:val="000000"/>
                <w:sz w:val="24"/>
                <w:lang w:eastAsia="zh-CN"/>
              </w:rPr>
              <w:t>。</w:t>
            </w:r>
          </w:p>
        </w:tc>
      </w:tr>
      <w:tr>
        <w:tc>
          <w:tcPr>
            <w:tcW w:w="304" w:type="pct"/>
            <w:noWrap w:val="0"/>
            <w:vAlign w:val="center"/>
          </w:tcPr>
          <w:p>
            <w:pPr>
              <w:spacing w:line="320" w:lineRule="exact"/>
              <w:jc w:val="center"/>
              <w:rPr>
                <w:rFonts w:eastAsia="黑体"/>
                <w:color w:val="000000"/>
                <w:sz w:val="24"/>
              </w:rPr>
            </w:pPr>
            <w:r>
              <w:rPr>
                <w:rFonts w:hint="eastAsia" w:eastAsia="黑体"/>
                <w:color w:val="000000"/>
                <w:sz w:val="24"/>
              </w:rPr>
              <w:t>7-6</w:t>
            </w:r>
          </w:p>
        </w:tc>
        <w:tc>
          <w:tcPr>
            <w:tcW w:w="514" w:type="pct"/>
            <w:noWrap w:val="0"/>
            <w:vAlign w:val="center"/>
          </w:tcPr>
          <w:p>
            <w:pPr>
              <w:spacing w:line="320" w:lineRule="exact"/>
              <w:jc w:val="center"/>
              <w:rPr>
                <w:rFonts w:eastAsia="黑体"/>
                <w:color w:val="000000"/>
                <w:sz w:val="24"/>
              </w:rPr>
            </w:pPr>
            <w:r>
              <w:rPr>
                <w:rFonts w:eastAsia="黑体"/>
                <w:color w:val="000000"/>
                <w:sz w:val="24"/>
              </w:rPr>
              <w:t>爆</w:t>
            </w:r>
            <w:r>
              <w:rPr>
                <w:rFonts w:hint="eastAsia" w:eastAsia="黑体"/>
                <w:color w:val="000000"/>
                <w:sz w:val="24"/>
              </w:rPr>
              <w:t>破</w:t>
            </w:r>
            <w:r>
              <w:rPr>
                <w:rFonts w:eastAsia="黑体"/>
                <w:color w:val="000000"/>
                <w:sz w:val="24"/>
              </w:rPr>
              <w:t>后管理</w:t>
            </w:r>
          </w:p>
        </w:tc>
        <w:tc>
          <w:tcPr>
            <w:tcW w:w="797"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爆破后，可能存在盲炮，另外，违规销毁爆破器材等也可能发生爆破事故</w:t>
            </w:r>
          </w:p>
        </w:tc>
        <w:tc>
          <w:tcPr>
            <w:tcW w:w="999" w:type="pct"/>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1.爆破后检查爆破现场，评估爆破效果，确认安全后，方可进行后道工序施工。</w:t>
            </w:r>
          </w:p>
          <w:p>
            <w:pPr>
              <w:spacing w:line="280" w:lineRule="exact"/>
              <w:rPr>
                <w:rFonts w:ascii="仿宋" w:hAnsi="仿宋" w:eastAsia="仿宋"/>
                <w:color w:val="000000"/>
                <w:sz w:val="24"/>
              </w:rPr>
            </w:pPr>
            <w:r>
              <w:rPr>
                <w:rFonts w:hint="eastAsia" w:ascii="仿宋" w:hAnsi="仿宋" w:eastAsia="仿宋"/>
                <w:color w:val="000000"/>
                <w:sz w:val="24"/>
              </w:rPr>
              <w:t>2.爆破后剩余的爆破器材应及时退库。</w:t>
            </w:r>
          </w:p>
          <w:p>
            <w:pPr>
              <w:spacing w:line="280" w:lineRule="exact"/>
              <w:rPr>
                <w:rFonts w:ascii="仿宋" w:hAnsi="仿宋" w:eastAsia="仿宋"/>
                <w:color w:val="000000"/>
                <w:sz w:val="24"/>
              </w:rPr>
            </w:pPr>
            <w:r>
              <w:rPr>
                <w:rFonts w:hint="eastAsia" w:ascii="仿宋" w:hAnsi="仿宋" w:eastAsia="仿宋"/>
                <w:color w:val="000000"/>
                <w:sz w:val="24"/>
              </w:rPr>
              <w:t>3.爆破作业单位应在一段爆破时间后，进行爆破总结，根据现场实际情况调整爆破参数。</w:t>
            </w:r>
          </w:p>
          <w:p>
            <w:pPr>
              <w:spacing w:line="280" w:lineRule="exact"/>
              <w:rPr>
                <w:rFonts w:ascii="仿宋" w:hAnsi="仿宋" w:eastAsia="仿宋"/>
                <w:color w:val="000000"/>
                <w:sz w:val="24"/>
              </w:rPr>
            </w:pPr>
            <w:r>
              <w:rPr>
                <w:rFonts w:ascii="仿宋" w:hAnsi="仿宋" w:eastAsia="仿宋"/>
                <w:color w:val="000000"/>
                <w:sz w:val="24"/>
              </w:rPr>
              <w:t>4.</w:t>
            </w:r>
            <w:r>
              <w:rPr>
                <w:rFonts w:hint="eastAsia" w:ascii="Calibri" w:hAnsi="Calibri" w:eastAsia="仿宋_GB2312"/>
                <w:color w:val="000000"/>
                <w:sz w:val="24"/>
              </w:rPr>
              <w:t xml:space="preserve"> ……</w:t>
            </w:r>
          </w:p>
        </w:tc>
        <w:tc>
          <w:tcPr>
            <w:tcW w:w="1910" w:type="pct"/>
            <w:noWrap w:val="0"/>
            <w:vAlign w:val="top"/>
          </w:tcPr>
          <w:p>
            <w:pPr>
              <w:spacing w:line="280" w:lineRule="exact"/>
              <w:rPr>
                <w:rFonts w:ascii="仿宋" w:hAnsi="仿宋" w:eastAsia="仿宋"/>
                <w:color w:val="000000"/>
                <w:sz w:val="24"/>
              </w:rPr>
            </w:pPr>
            <w:r>
              <w:rPr>
                <w:rFonts w:hint="eastAsia" w:ascii="仿宋" w:hAnsi="仿宋" w:eastAsia="仿宋"/>
                <w:color w:val="000000"/>
                <w:sz w:val="24"/>
              </w:rPr>
              <w:t>１.露天爆破 5min后方可进入爆破作业地点进行检查；地下工程爆破后应通风除尘排烟，至少经15min后，确认井下空气合格、检查人员方能进人爆破作业地点。</w:t>
            </w:r>
          </w:p>
          <w:p>
            <w:pPr>
              <w:spacing w:line="280" w:lineRule="exact"/>
              <w:rPr>
                <w:rFonts w:ascii="仿宋" w:hAnsi="仿宋" w:eastAsia="仿宋"/>
                <w:color w:val="000000"/>
                <w:sz w:val="24"/>
              </w:rPr>
            </w:pPr>
            <w:r>
              <w:rPr>
                <w:rFonts w:hint="eastAsia" w:ascii="仿宋" w:hAnsi="仿宋" w:eastAsia="仿宋"/>
                <w:color w:val="000000"/>
                <w:sz w:val="24"/>
              </w:rPr>
              <w:t>２.检查内容包括盲炮排查；露天爆破爆堆是否稳定，有无危坡、危石、危墙、危房； 地下爆破有无瓦斯及地下水突出、有无冒顶、危岩，支撑是否破坏，有害气体是否排除； 爆破警戒区内公用设施及重点保护建(构)筑物、管线安全情况，发现异常情况及时通知爆破施工现场负责人进行处理。</w:t>
            </w:r>
          </w:p>
          <w:p>
            <w:pPr>
              <w:spacing w:line="280" w:lineRule="exact"/>
              <w:rPr>
                <w:rFonts w:ascii="仿宋" w:hAnsi="仿宋" w:eastAsia="仿宋"/>
                <w:color w:val="000000"/>
                <w:sz w:val="24"/>
              </w:rPr>
            </w:pPr>
            <w:r>
              <w:rPr>
                <w:rFonts w:hint="eastAsia" w:ascii="仿宋" w:hAnsi="仿宋" w:eastAsia="仿宋"/>
                <w:color w:val="000000"/>
                <w:sz w:val="24"/>
              </w:rPr>
              <w:t>3.剩余的爆破器材应及时退库，办理退库手续，</w:t>
            </w:r>
            <w:r>
              <w:rPr>
                <w:rFonts w:hint="eastAsia" w:ascii="仿宋" w:hAnsi="仿宋" w:eastAsia="仿宋"/>
                <w:color w:val="000000"/>
                <w:sz w:val="24"/>
                <w:lang w:val="en-US" w:eastAsia="zh-CN"/>
              </w:rPr>
              <w:t>账物</w:t>
            </w:r>
            <w:r>
              <w:rPr>
                <w:rFonts w:hint="eastAsia" w:ascii="仿宋" w:hAnsi="仿宋" w:eastAsia="仿宋"/>
                <w:color w:val="000000"/>
                <w:sz w:val="24"/>
              </w:rPr>
              <w:t>相符。</w:t>
            </w:r>
          </w:p>
          <w:p>
            <w:pPr>
              <w:spacing w:line="280" w:lineRule="exact"/>
              <w:rPr>
                <w:rFonts w:ascii="仿宋" w:hAnsi="仿宋" w:eastAsia="仿宋"/>
                <w:color w:val="000000"/>
                <w:sz w:val="24"/>
              </w:rPr>
            </w:pPr>
            <w:r>
              <w:rPr>
                <w:rFonts w:hint="eastAsia" w:ascii="仿宋" w:hAnsi="仿宋" w:eastAsia="仿宋"/>
                <w:color w:val="000000"/>
                <w:sz w:val="24"/>
              </w:rPr>
              <w:t>4.及时收集、整理、分析爆破效果及危害因素监测数据，调整爆破参数纠正爆破偏差。当危害因素监测值达到预警值时，立即停止爆破施工，报告爆破施工单位技术负责人，采取应对措施。</w:t>
            </w:r>
          </w:p>
          <w:p>
            <w:pPr>
              <w:spacing w:line="280" w:lineRule="exact"/>
              <w:rPr>
                <w:rFonts w:ascii="仿宋" w:hAnsi="仿宋" w:eastAsia="仿宋"/>
                <w:color w:val="000000"/>
                <w:sz w:val="24"/>
              </w:rPr>
            </w:pPr>
            <w:r>
              <w:rPr>
                <w:rFonts w:ascii="仿宋" w:hAnsi="仿宋" w:eastAsia="仿宋"/>
                <w:color w:val="000000"/>
                <w:sz w:val="24"/>
              </w:rPr>
              <w:t>5.</w:t>
            </w:r>
            <w:r>
              <w:rPr>
                <w:rFonts w:hint="eastAsia" w:ascii="Calibri" w:hAnsi="Calibri" w:eastAsia="仿宋_GB2312"/>
                <w:color w:val="000000"/>
                <w:sz w:val="24"/>
              </w:rPr>
              <w:t xml:space="preserve"> ……</w:t>
            </w:r>
          </w:p>
        </w:tc>
        <w:tc>
          <w:tcPr>
            <w:tcW w:w="475" w:type="pct"/>
            <w:noWrap w:val="0"/>
            <w:vAlign w:val="center"/>
          </w:tcPr>
          <w:p>
            <w:pPr>
              <w:spacing w:line="280" w:lineRule="exact"/>
              <w:jc w:val="left"/>
              <w:rPr>
                <w:rFonts w:ascii="仿宋" w:hAnsi="仿宋" w:eastAsia="仿宋"/>
                <w:color w:val="000000"/>
                <w:sz w:val="24"/>
              </w:rPr>
            </w:pPr>
            <w:r>
              <w:rPr>
                <w:rFonts w:hint="eastAsia" w:ascii="仿宋" w:hAnsi="仿宋" w:eastAsia="仿宋"/>
                <w:color w:val="000000"/>
                <w:sz w:val="24"/>
              </w:rPr>
              <w:t>技术员负责制定盲炮处理方案，爆破施工单位技术负责人负责审批；爆破员和安全员负责爆破后现场检查、保管员负责将剩余爆破器材重新入库并办理入存手续。</w:t>
            </w:r>
          </w:p>
        </w:tc>
      </w:tr>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69A032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69A032D"/>
    <w:rsid w:val="49521D81"/>
    <w:rsid w:val="4B115470"/>
    <w:rsid w:val="4C265B4C"/>
    <w:rsid w:val="4F270F69"/>
    <w:rsid w:val="525FE2B5"/>
    <w:rsid w:val="585208C9"/>
    <w:rsid w:val="5D9F2447"/>
    <w:rsid w:val="5E096584"/>
    <w:rsid w:val="6040308A"/>
    <w:rsid w:val="613E78A3"/>
    <w:rsid w:val="61BF3015"/>
    <w:rsid w:val="64463C6F"/>
    <w:rsid w:val="66377F53"/>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rPr>
      <w:rFonts w:ascii="Calibri" w:hAnsi="Calibri" w:eastAsia="宋体"/>
      <w:sz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2">
    <w:name w:val="Body Text"/>
    <w:basedOn w:val="1"/>
    <w:unhideWhenUsed/>
    <w:qFormat/>
    <w:uiPriority w:val="99"/>
    <w:pPr>
      <w:spacing w:after="120"/>
    </w:pPr>
    <w:rPr>
      <w:rFonts w:ascii="Calibri" w:hAnsi="Calibri" w:eastAsia="宋体" w:cs="Times New Roman"/>
      <w:szCs w:val="22"/>
    </w:rPr>
  </w:style>
  <w:style w:type="paragraph" w:styleId="13">
    <w:name w:val="Body Text Indent"/>
    <w:basedOn w:val="1"/>
    <w:uiPriority w:val="0"/>
    <w:pPr>
      <w:spacing w:after="120"/>
      <w:ind w:left="420" w:leftChars="200"/>
    </w:pPr>
  </w:style>
  <w:style w:type="paragraph" w:styleId="14">
    <w:name w:val="Body Text First Indent"/>
    <w:basedOn w:val="12"/>
    <w:next w:val="15"/>
    <w:unhideWhenUsed/>
    <w:qFormat/>
    <w:uiPriority w:val="99"/>
    <w:pPr>
      <w:ind w:firstLine="420" w:firstLineChars="100"/>
    </w:pPr>
  </w:style>
  <w:style w:type="paragraph" w:styleId="15">
    <w:name w:val="Body Text First Indent 2"/>
    <w:basedOn w:val="13"/>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6</Characters>
  <Lines>0</Lines>
  <Paragraphs>0</Paragraphs>
  <TotalTime>0</TotalTime>
  <ScaleCrop>false</ScaleCrop>
  <LinksUpToDate>false</LinksUpToDate>
  <CharactersWithSpaces>6</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2023-03-03T15:31:00Z</dcterms:created>
  <dc:creator>孙瑞</dc:creator>
  <cp:lastModifiedBy>WPS_1513130633</cp:lastModifiedBy>
  <dcterms:modified xsi:type="dcterms:W3CDTF">2023-03-03T17:14:46Z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E5E90A565E8444789A9031EDF329EA1E</vt:lpwstr>
  </property>
</Properties>
</file>