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color w:val="000000"/>
          <w:sz w:val="32"/>
          <w:szCs w:val="32"/>
        </w:rPr>
      </w:pPr>
      <w:r>
        <w:rPr>
          <w:rFonts w:hint="eastAsia" w:eastAsia="方正小标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方正小标宋简体"/>
          <w:color w:val="000000"/>
          <w:sz w:val="32"/>
          <w:szCs w:val="32"/>
        </w:rPr>
        <w:t>建筑</w:t>
      </w:r>
      <w:r>
        <w:rPr>
          <w:rFonts w:eastAsia="方正小标宋简体"/>
          <w:color w:val="000000"/>
          <w:sz w:val="32"/>
          <w:szCs w:val="32"/>
        </w:rPr>
        <w:t>施工</w:t>
      </w:r>
      <w:r>
        <w:rPr>
          <w:rFonts w:hint="eastAsia" w:eastAsia="方正小标宋简体"/>
          <w:color w:val="000000"/>
          <w:sz w:val="32"/>
          <w:szCs w:val="32"/>
        </w:rPr>
        <w:t>起重</w:t>
      </w:r>
      <w:r>
        <w:rPr>
          <w:rFonts w:eastAsia="方正小标宋简体"/>
          <w:color w:val="000000"/>
          <w:sz w:val="32"/>
          <w:szCs w:val="32"/>
        </w:rPr>
        <w:t>设备日常检查工作清单</w:t>
      </w:r>
      <w:r>
        <w:rPr>
          <w:rFonts w:hint="eastAsia" w:eastAsia="方正小标宋简体"/>
          <w:color w:val="000000"/>
          <w:sz w:val="32"/>
          <w:szCs w:val="32"/>
        </w:rPr>
        <w:t>示例</w:t>
      </w:r>
    </w:p>
    <w:tbl>
      <w:tblPr>
        <w:tblStyle w:val="1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9123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</w:trPr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检查项目</w:t>
            </w:r>
          </w:p>
        </w:tc>
        <w:tc>
          <w:tcPr>
            <w:tcW w:w="9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检查清单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责任人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检查</w:t>
            </w:r>
            <w:r>
              <w:rPr>
                <w:rFonts w:eastAsia="黑体"/>
                <w:color w:val="000000"/>
                <w:sz w:val="24"/>
              </w:rPr>
              <w:t>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管理</w:t>
            </w:r>
            <w:r>
              <w:rPr>
                <w:rFonts w:eastAsia="黑体"/>
                <w:color w:val="000000"/>
                <w:sz w:val="24"/>
              </w:rPr>
              <w:t>行为</w:t>
            </w:r>
          </w:p>
        </w:tc>
        <w:tc>
          <w:tcPr>
            <w:tcW w:w="9123" w:type="dxa"/>
            <w:noWrap w:val="0"/>
            <w:vAlign w:val="center"/>
          </w:tcPr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1.起重机械、机具设备检验合格。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2.施工机械设备维护、保养到位，相关记录规范。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3.制定专项应急预案并培训到位。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4.操作人员持证上岗。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5.进场、安装、使用等环节已经过验收，备案环节合规合法。</w:t>
            </w:r>
          </w:p>
          <w:p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 ……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明确</w:t>
            </w:r>
            <w:r>
              <w:rPr>
                <w:rFonts w:hint="eastAsia" w:eastAsia="仿宋_GB2312"/>
                <w:color w:val="000000"/>
                <w:sz w:val="24"/>
              </w:rPr>
              <w:t>到各岗位一线操作者或</w:t>
            </w:r>
            <w:r>
              <w:rPr>
                <w:rFonts w:eastAsia="仿宋_GB2312"/>
                <w:color w:val="000000"/>
                <w:sz w:val="24"/>
              </w:rPr>
              <w:t>专业检查人员等</w:t>
            </w:r>
            <w:r>
              <w:rPr>
                <w:rFonts w:hint="eastAsia" w:eastAsia="仿宋_GB2312"/>
                <w:color w:val="000000"/>
                <w:sz w:val="24"/>
              </w:rPr>
              <w:t>具体</w:t>
            </w:r>
            <w:r>
              <w:rPr>
                <w:rFonts w:eastAsia="仿宋_GB2312"/>
                <w:color w:val="000000"/>
                <w:sz w:val="24"/>
              </w:rPr>
              <w:t>责任人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下同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（根据管理</w:t>
            </w:r>
            <w:r>
              <w:rPr>
                <w:rFonts w:eastAsia="仿宋_GB2312"/>
                <w:color w:val="000000"/>
                <w:sz w:val="24"/>
              </w:rPr>
              <w:t>层级明确检查频次如</w:t>
            </w:r>
            <w:r>
              <w:rPr>
                <w:rFonts w:hint="eastAsia" w:eastAsia="仿宋_GB2312"/>
                <w:color w:val="000000"/>
                <w:sz w:val="24"/>
              </w:rPr>
              <w:t>：</w:t>
            </w:r>
            <w:r>
              <w:rPr>
                <w:rFonts w:eastAsia="仿宋_GB2312"/>
                <w:color w:val="000000"/>
                <w:sz w:val="24"/>
              </w:rPr>
              <w:t>每日</w:t>
            </w:r>
            <w:r>
              <w:rPr>
                <w:rFonts w:hint="eastAsia" w:eastAsia="仿宋_GB2312"/>
                <w:color w:val="000000"/>
                <w:sz w:val="24"/>
              </w:rPr>
              <w:t>/周/月一次，</w:t>
            </w:r>
            <w:r>
              <w:rPr>
                <w:rFonts w:eastAsia="仿宋_GB2312"/>
                <w:color w:val="000000"/>
                <w:sz w:val="24"/>
              </w:rPr>
              <w:t>下同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塔式</w:t>
            </w:r>
            <w:r>
              <w:rPr>
                <w:rFonts w:eastAsia="黑体"/>
                <w:color w:val="000000"/>
                <w:sz w:val="24"/>
              </w:rPr>
              <w:t>起重机</w:t>
            </w:r>
          </w:p>
        </w:tc>
        <w:tc>
          <w:tcPr>
            <w:tcW w:w="9123" w:type="dxa"/>
            <w:noWrap w:val="0"/>
            <w:vAlign w:val="center"/>
          </w:tcPr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1.塔式起重机安装、拆除、使用是否符合规范要求。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2.荷载限制装置、行程限位装置、保护装置等安全装置或装置是否灵敏。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3.多塔作业是否编制专项方案以及方案是否经过审批。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4.任意两台塔式起重机最小架设距离应符合规范要求。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5.主要结构件不得变形、锈蚀过度。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6.平台、走道、梯子、护栏设置应符合规范要求。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7.螺栓、销轴、紧固件的紧固、连接应符合规范要求。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8.附着装置及设置应符合规范要求。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9.避雷装置设置应符合规范要求。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10.基础的设置严格按照方案实施。</w:t>
            </w:r>
          </w:p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11.钢丝绳、各工作机构符合说明书使用要求。</w:t>
            </w:r>
          </w:p>
          <w:p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2. ……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施工</w:t>
            </w:r>
            <w:r>
              <w:rPr>
                <w:rFonts w:eastAsia="黑体"/>
                <w:color w:val="000000"/>
                <w:sz w:val="24"/>
              </w:rPr>
              <w:t>电梯</w:t>
            </w:r>
          </w:p>
        </w:tc>
        <w:tc>
          <w:tcPr>
            <w:tcW w:w="9123" w:type="dxa"/>
            <w:noWrap w:val="0"/>
            <w:vAlign w:val="center"/>
          </w:tcPr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1.施工升降机安装、拆除、使用应符合规范要求。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2.未安装重量限制器、渐进式防坠器、缓冲器、限位装置等安全装置或装置应灵敏可靠。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3.防坠安全器不得超过有效标定期限。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4.地面防护围栏、停层平台、层门安装等应符合要求。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5.附墙架、导轨架应与建筑物可靠连接。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6.滑轮应安装钢丝绳防脱装置。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7.对重应安装防脱轨装置。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8.自由端高度应符合规范要求。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9.避雷装置设置应符合规范要求。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10.应规范设置通信装置或通信信号应清晰。</w:t>
            </w:r>
          </w:p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11.基础的设置严格按照方案实施。</w:t>
            </w:r>
          </w:p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12.钢丝绳、各工作机构符合说明书使用要求。</w:t>
            </w:r>
          </w:p>
          <w:p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13. ……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</w:trPr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物料</w:t>
            </w:r>
            <w:r>
              <w:rPr>
                <w:rFonts w:eastAsia="黑体"/>
                <w:color w:val="000000"/>
                <w:sz w:val="24"/>
              </w:rPr>
              <w:t>提升机</w:t>
            </w:r>
          </w:p>
        </w:tc>
        <w:tc>
          <w:tcPr>
            <w:tcW w:w="9123" w:type="dxa"/>
            <w:noWrap w:val="0"/>
            <w:vAlign w:val="center"/>
          </w:tcPr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1.物料提升机安装、拆除、使用应符合规范要求。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2.应安装重量限制器、防坠器、缓冲器、限位装置等安全装置且装置应灵敏。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3.地面防护围栏、停层平台、层门安装等应符合要求。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4.缆风绳设置、数量、材质、位置和地锚连接等应符合要求。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5.附墙架应与建筑物可靠连接。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6.自由端高度应符合规范要求。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7.滑轮应安装钢丝绳防脱装置。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8.应规范设置通信装置或通信信号清晰。</w:t>
            </w:r>
          </w:p>
          <w:p>
            <w:pPr>
              <w:spacing w:line="32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9.不得使用物料提升机载人。</w:t>
            </w:r>
          </w:p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10.基础的设置严格按照方案实施。</w:t>
            </w:r>
          </w:p>
          <w:p>
            <w:pPr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11.钢丝绳、各工作机构符合说明书使用要求。</w:t>
            </w:r>
          </w:p>
          <w:p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12. ……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其他</w:t>
            </w:r>
          </w:p>
        </w:tc>
        <w:tc>
          <w:tcPr>
            <w:tcW w:w="9123" w:type="dxa"/>
            <w:noWrap w:val="0"/>
            <w:vAlign w:val="center"/>
          </w:tcPr>
          <w:p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……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CB06853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6F616041"/>
    <w:rsid w:val="70390390"/>
    <w:rsid w:val="7CB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0</TotalTime>
  <ScaleCrop>false</ScaleCrop>
  <LinksUpToDate>false</LinksUpToDate>
  <CharactersWithSpaces>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2023-03-03T06:58:00Z</dcterms:created>
  <dc:creator>孙瑞</dc:creator>
  <cp:lastModifiedBy>孙瑞</cp:lastModifiedBy>
  <dcterms:modified xsi:type="dcterms:W3CDTF">2023-03-03T07:00:21Z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FDFE90A033194DB9B94CF9D08F410EE9</vt:lpwstr>
  </property>
</Properties>
</file>