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楷体_GB2312" w:eastAsia="方正小标宋简体"/>
          <w:color w:val="000000"/>
          <w:sz w:val="32"/>
          <w:szCs w:val="32"/>
          <w:lang w:eastAsia="zh-Hans"/>
        </w:rPr>
      </w:pPr>
      <w:bookmarkStart w:id="0" w:name="_GoBack"/>
      <w:r>
        <w:rPr>
          <w:rFonts w:eastAsia="方正小标宋简体"/>
          <w:bCs/>
          <w:color w:val="000000"/>
          <w:sz w:val="36"/>
          <w:szCs w:val="36"/>
        </w:rPr>
        <w:t>建筑施工重大安全风险管控清单</w:t>
      </w:r>
      <w:r>
        <w:rPr>
          <w:rFonts w:hint="eastAsia" w:eastAsia="方正小标宋简体"/>
          <w:bCs/>
          <w:color w:val="000000"/>
          <w:sz w:val="36"/>
          <w:szCs w:val="36"/>
          <w:lang w:eastAsia="zh-Hans"/>
        </w:rPr>
        <w:t>（</w:t>
      </w:r>
      <w:r>
        <w:rPr>
          <w:rFonts w:hint="eastAsia" w:ascii="Times New Roman" w:hAnsi="Times New Roman" w:eastAsia="方正小标宋简体" w:cs="Times New Roman"/>
          <w:color w:val="000000"/>
          <w:sz w:val="32"/>
          <w:szCs w:val="32"/>
          <w:lang w:eastAsia="zh-CN"/>
        </w:rPr>
        <w:t>脚手架搭设与拆除</w:t>
      </w:r>
      <w:r>
        <w:rPr>
          <w:rFonts w:hint="eastAsia" w:eastAsia="方正小标宋简体" w:cs="Times New Roman"/>
          <w:color w:val="000000"/>
          <w:sz w:val="32"/>
          <w:szCs w:val="32"/>
          <w:lang w:eastAsia="zh-Hans"/>
        </w:rPr>
        <w:t>）</w:t>
      </w:r>
    </w:p>
    <w:bookmarkEnd w:id="0"/>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386"/>
        <w:gridCol w:w="2004"/>
        <w:gridCol w:w="2157"/>
        <w:gridCol w:w="589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7" w:hRule="atLeast"/>
          <w:tblHeader/>
        </w:trPr>
        <w:tc>
          <w:tcPr>
            <w:tcW w:w="354" w:type="pct"/>
            <w:noWrap w:val="0"/>
            <w:vAlign w:val="center"/>
          </w:tcPr>
          <w:p>
            <w:pPr>
              <w:spacing w:line="320" w:lineRule="exact"/>
              <w:rPr>
                <w:rFonts w:eastAsia="黑体"/>
                <w:color w:val="000000"/>
                <w:sz w:val="24"/>
              </w:rPr>
            </w:pPr>
            <w:r>
              <w:rPr>
                <w:rFonts w:eastAsia="黑体"/>
                <w:color w:val="000000"/>
                <w:sz w:val="24"/>
              </w:rPr>
              <w:t>序号</w:t>
            </w:r>
          </w:p>
        </w:tc>
        <w:tc>
          <w:tcPr>
            <w:tcW w:w="489" w:type="pct"/>
            <w:noWrap w:val="0"/>
            <w:vAlign w:val="center"/>
          </w:tcPr>
          <w:p>
            <w:pPr>
              <w:spacing w:line="320" w:lineRule="exact"/>
              <w:rPr>
                <w:rFonts w:eastAsia="黑体"/>
                <w:color w:val="000000"/>
                <w:sz w:val="24"/>
              </w:rPr>
            </w:pPr>
            <w:r>
              <w:rPr>
                <w:rFonts w:eastAsia="黑体"/>
                <w:color w:val="000000"/>
                <w:sz w:val="24"/>
              </w:rPr>
              <w:t>重点部位</w:t>
            </w:r>
          </w:p>
          <w:p>
            <w:pPr>
              <w:spacing w:line="320" w:lineRule="exact"/>
              <w:rPr>
                <w:rFonts w:eastAsia="黑体"/>
                <w:color w:val="000000"/>
                <w:sz w:val="24"/>
              </w:rPr>
            </w:pPr>
            <w:r>
              <w:rPr>
                <w:rFonts w:hint="eastAsia" w:eastAsia="黑体"/>
                <w:color w:val="000000"/>
                <w:sz w:val="24"/>
              </w:rPr>
              <w:t>（环节）</w:t>
            </w:r>
          </w:p>
        </w:tc>
        <w:tc>
          <w:tcPr>
            <w:tcW w:w="707" w:type="pct"/>
            <w:noWrap w:val="0"/>
            <w:vAlign w:val="center"/>
          </w:tcPr>
          <w:p>
            <w:pPr>
              <w:spacing w:line="320" w:lineRule="exact"/>
              <w:rPr>
                <w:rFonts w:eastAsia="黑体"/>
                <w:color w:val="000000"/>
                <w:sz w:val="24"/>
              </w:rPr>
            </w:pPr>
            <w:r>
              <w:rPr>
                <w:rFonts w:eastAsia="黑体"/>
                <w:color w:val="000000"/>
                <w:sz w:val="24"/>
              </w:rPr>
              <w:t>主要风险概述</w:t>
            </w:r>
          </w:p>
        </w:tc>
        <w:tc>
          <w:tcPr>
            <w:tcW w:w="761" w:type="pct"/>
            <w:noWrap w:val="0"/>
            <w:vAlign w:val="center"/>
          </w:tcPr>
          <w:p>
            <w:pPr>
              <w:spacing w:line="320" w:lineRule="exact"/>
              <w:jc w:val="center"/>
              <w:rPr>
                <w:rFonts w:eastAsia="黑体"/>
                <w:color w:val="000000"/>
                <w:sz w:val="24"/>
              </w:rPr>
            </w:pPr>
            <w:r>
              <w:rPr>
                <w:rFonts w:eastAsia="黑体"/>
                <w:color w:val="000000"/>
                <w:sz w:val="24"/>
              </w:rPr>
              <w:t>管控责任</w:t>
            </w:r>
          </w:p>
        </w:tc>
        <w:tc>
          <w:tcPr>
            <w:tcW w:w="2081" w:type="pct"/>
            <w:noWrap w:val="0"/>
            <w:vAlign w:val="center"/>
          </w:tcPr>
          <w:p>
            <w:pPr>
              <w:spacing w:line="320" w:lineRule="exact"/>
              <w:ind w:firstLine="480"/>
              <w:jc w:val="center"/>
              <w:rPr>
                <w:rFonts w:eastAsia="黑体"/>
                <w:color w:val="000000"/>
                <w:sz w:val="24"/>
              </w:rPr>
            </w:pPr>
            <w:r>
              <w:rPr>
                <w:rFonts w:eastAsia="黑体"/>
                <w:color w:val="000000"/>
                <w:sz w:val="24"/>
              </w:rPr>
              <w:t>管控措施</w:t>
            </w:r>
          </w:p>
        </w:tc>
        <w:tc>
          <w:tcPr>
            <w:tcW w:w="605" w:type="pct"/>
            <w:noWrap w:val="0"/>
            <w:vAlign w:val="center"/>
          </w:tcPr>
          <w:p>
            <w:pPr>
              <w:spacing w:line="320" w:lineRule="exact"/>
              <w:rPr>
                <w:rFonts w:eastAsia="黑体"/>
                <w:color w:val="000000"/>
                <w:sz w:val="24"/>
              </w:rPr>
            </w:pPr>
            <w:r>
              <w:rPr>
                <w:rFonts w:eastAsia="黑体"/>
                <w:color w:val="00000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noWrap w:val="0"/>
            <w:vAlign w:val="center"/>
          </w:tcPr>
          <w:p>
            <w:pPr>
              <w:spacing w:line="320" w:lineRule="exact"/>
              <w:jc w:val="center"/>
              <w:rPr>
                <w:rFonts w:eastAsia="黑体"/>
                <w:color w:val="000000"/>
                <w:sz w:val="24"/>
              </w:rPr>
            </w:pPr>
            <w:r>
              <w:rPr>
                <w:rFonts w:hint="eastAsia" w:eastAsia="黑体"/>
                <w:color w:val="000000"/>
                <w:sz w:val="24"/>
              </w:rPr>
              <w:t>9-1</w:t>
            </w:r>
          </w:p>
        </w:tc>
        <w:tc>
          <w:tcPr>
            <w:tcW w:w="489" w:type="pct"/>
            <w:noWrap w:val="0"/>
            <w:vAlign w:val="center"/>
          </w:tcPr>
          <w:p>
            <w:pPr>
              <w:spacing w:line="320" w:lineRule="exact"/>
              <w:rPr>
                <w:rFonts w:ascii="仿宋_GB2312" w:eastAsia="仿宋_GB2312"/>
                <w:color w:val="000000"/>
                <w:sz w:val="24"/>
              </w:rPr>
            </w:pPr>
            <w:r>
              <w:rPr>
                <w:rFonts w:hint="eastAsia" w:eastAsia="黑体"/>
                <w:color w:val="000000"/>
                <w:sz w:val="24"/>
              </w:rPr>
              <w:t>施工方案</w:t>
            </w:r>
          </w:p>
        </w:tc>
        <w:tc>
          <w:tcPr>
            <w:tcW w:w="707" w:type="pct"/>
            <w:noWrap w:val="0"/>
            <w:vAlign w:val="center"/>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无施工方案或施工方案未经审批，极易导致脚手架搭设不规范坍塌。</w:t>
            </w:r>
          </w:p>
        </w:tc>
        <w:tc>
          <w:tcPr>
            <w:tcW w:w="761" w:type="pct"/>
            <w:noWrap w:val="0"/>
            <w:vAlign w:val="center"/>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1.危大工程施工方案按规定编制、审核、批准。</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2.超过一定规模的危险性较大分部分项工程的，应按规定组织专家论证。</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3. ……</w:t>
            </w:r>
          </w:p>
        </w:tc>
        <w:tc>
          <w:tcPr>
            <w:tcW w:w="2081" w:type="pct"/>
            <w:noWrap w:val="0"/>
            <w:vAlign w:val="center"/>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1. 属于危险性较大的脚手架工程，搭设和拆除作业应编制专项施工方案，专项方案应当由施工单位技术部门组织本单位施工技术、安全、质量等部门的专业技术人员进行审核，经审核通过的，由施工单位技术负责人审核签字并加盖单位公章，报项目总监理工程师审查签字，并加盖执业资格注册章后方可实施。危大工程实行分包并由分包单位编制专项方案的，专项方案应当由总承包单位技术负责人及分包单位技术负责人共同审核签字并加盖单位公章。</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 xml:space="preserve">2. 属于超过一定规模的危险性较大分部分项工程的，施工单位应当组织召开专家论证会对专项方案进行论证。实行施工总承包的，由施工总承包单位组织召开专家论证会。专家论证前专项方案应当通过施工单位技术负责人审核和总监理工程师审查。 </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3. ……</w:t>
            </w:r>
          </w:p>
        </w:tc>
        <w:tc>
          <w:tcPr>
            <w:tcW w:w="605" w:type="pct"/>
            <w:noWrap w:val="0"/>
            <w:vAlign w:val="center"/>
          </w:tcPr>
          <w:p>
            <w:pPr>
              <w:spacing w:line="320" w:lineRule="exact"/>
              <w:jc w:val="left"/>
              <w:rPr>
                <w:rFonts w:hint="eastAsia" w:ascii="仿宋" w:hAnsi="仿宋" w:eastAsia="仿宋" w:cs="仿宋"/>
                <w:color w:val="000000"/>
                <w:sz w:val="24"/>
                <w:lang w:eastAsia="zh-CN"/>
              </w:rPr>
            </w:pPr>
            <w:r>
              <w:rPr>
                <w:rFonts w:hint="eastAsia" w:ascii="仿宋" w:hAnsi="仿宋" w:eastAsia="仿宋" w:cs="仿宋"/>
                <w:color w:val="000000"/>
                <w:sz w:val="24"/>
              </w:rPr>
              <w:t>项目技术负责人编制专项施工方案，施工单位技术负责人和总监理工程师签字审批</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noWrap w:val="0"/>
            <w:vAlign w:val="center"/>
          </w:tcPr>
          <w:p>
            <w:pPr>
              <w:spacing w:line="320" w:lineRule="exact"/>
              <w:jc w:val="center"/>
              <w:rPr>
                <w:rFonts w:eastAsia="黑体"/>
                <w:color w:val="000000"/>
                <w:sz w:val="24"/>
              </w:rPr>
            </w:pPr>
            <w:r>
              <w:rPr>
                <w:rFonts w:hint="eastAsia" w:eastAsia="黑体"/>
                <w:color w:val="000000"/>
                <w:sz w:val="24"/>
              </w:rPr>
              <w:t>9-2</w:t>
            </w:r>
          </w:p>
        </w:tc>
        <w:tc>
          <w:tcPr>
            <w:tcW w:w="489" w:type="pct"/>
            <w:noWrap w:val="0"/>
            <w:vAlign w:val="center"/>
          </w:tcPr>
          <w:p>
            <w:pPr>
              <w:spacing w:line="320" w:lineRule="exact"/>
              <w:rPr>
                <w:rFonts w:eastAsia="黑体"/>
                <w:color w:val="000000"/>
                <w:sz w:val="24"/>
              </w:rPr>
            </w:pPr>
            <w:r>
              <w:rPr>
                <w:rFonts w:hint="eastAsia" w:eastAsia="黑体"/>
                <w:color w:val="000000"/>
                <w:sz w:val="24"/>
              </w:rPr>
              <w:t>施工准备</w:t>
            </w:r>
          </w:p>
        </w:tc>
        <w:tc>
          <w:tcPr>
            <w:tcW w:w="707" w:type="pct"/>
            <w:noWrap w:val="0"/>
            <w:vAlign w:val="center"/>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搭拆脚手架作业人员未持证上岗、未进行技术交底易导致生产安全事故。</w:t>
            </w:r>
          </w:p>
        </w:tc>
        <w:tc>
          <w:tcPr>
            <w:tcW w:w="761" w:type="pct"/>
            <w:noWrap w:val="0"/>
            <w:vAlign w:val="center"/>
          </w:tcPr>
          <w:p>
            <w:pPr>
              <w:spacing w:line="320" w:lineRule="exact"/>
              <w:rPr>
                <w:rFonts w:hint="eastAsia" w:ascii="仿宋" w:hAnsi="仿宋" w:eastAsia="仿宋" w:cs="仿宋"/>
                <w:color w:val="000000"/>
                <w:sz w:val="24"/>
                <w:lang w:eastAsia="zh-CN"/>
              </w:rPr>
            </w:pPr>
            <w:r>
              <w:rPr>
                <w:rFonts w:hint="eastAsia" w:ascii="仿宋" w:hAnsi="仿宋" w:eastAsia="仿宋" w:cs="仿宋"/>
                <w:color w:val="000000"/>
                <w:sz w:val="24"/>
              </w:rPr>
              <w:t>1.作业人员培训取证</w:t>
            </w:r>
            <w:r>
              <w:rPr>
                <w:rFonts w:hint="eastAsia" w:ascii="仿宋" w:hAnsi="仿宋" w:eastAsia="仿宋" w:cs="仿宋"/>
                <w:color w:val="000000"/>
                <w:sz w:val="24"/>
                <w:lang w:eastAsia="zh-CN"/>
              </w:rPr>
              <w:t>。</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2.脚手架搭设前进行技术交底。</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3. ……</w:t>
            </w:r>
          </w:p>
        </w:tc>
        <w:tc>
          <w:tcPr>
            <w:tcW w:w="2081" w:type="pct"/>
            <w:noWrap w:val="0"/>
            <w:vAlign w:val="top"/>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1.脚手架搭设人员必须经培训考核合格后，取得特殊工种证件。</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2. 实行实名制进场登记，确保架子工持有效证件进场作业。</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3.脚手架搭设前，方案编制人员或项目技术负责人应向施工现场管理人员进行方案交底。</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4.施工现场管理人员应当向作业人员进行安全技术交底，并由双方和项目专职安全生产管理人员共同签字确认。</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5. ……。</w:t>
            </w:r>
          </w:p>
        </w:tc>
        <w:tc>
          <w:tcPr>
            <w:tcW w:w="605" w:type="pct"/>
            <w:noWrap w:val="0"/>
            <w:vAlign w:val="center"/>
          </w:tcPr>
          <w:p>
            <w:pPr>
              <w:spacing w:line="320" w:lineRule="exact"/>
              <w:jc w:val="left"/>
              <w:rPr>
                <w:rFonts w:hint="eastAsia" w:ascii="仿宋" w:hAnsi="仿宋" w:eastAsia="仿宋" w:cs="仿宋"/>
                <w:color w:val="000000"/>
                <w:sz w:val="24"/>
                <w:lang w:eastAsia="zh-CN"/>
              </w:rPr>
            </w:pPr>
            <w:r>
              <w:rPr>
                <w:rFonts w:hint="eastAsia" w:ascii="仿宋" w:hAnsi="仿宋" w:eastAsia="仿宋" w:cs="仿宋"/>
                <w:color w:val="000000"/>
                <w:sz w:val="24"/>
              </w:rPr>
              <w:t>方案编制人员、项目技术负责人、施工现场管理人员、项目专职安全员</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noWrap w:val="0"/>
            <w:vAlign w:val="center"/>
          </w:tcPr>
          <w:p>
            <w:pPr>
              <w:spacing w:line="320" w:lineRule="exact"/>
              <w:jc w:val="center"/>
              <w:rPr>
                <w:rFonts w:eastAsia="黑体"/>
                <w:color w:val="000000"/>
                <w:sz w:val="24"/>
              </w:rPr>
            </w:pPr>
            <w:r>
              <w:rPr>
                <w:rFonts w:hint="eastAsia" w:eastAsia="黑体"/>
                <w:color w:val="000000"/>
                <w:sz w:val="24"/>
              </w:rPr>
              <w:t>9-3</w:t>
            </w:r>
          </w:p>
        </w:tc>
        <w:tc>
          <w:tcPr>
            <w:tcW w:w="489" w:type="pct"/>
            <w:noWrap w:val="0"/>
            <w:vAlign w:val="center"/>
          </w:tcPr>
          <w:p>
            <w:pPr>
              <w:spacing w:line="300" w:lineRule="exact"/>
              <w:rPr>
                <w:rFonts w:eastAsia="黑体"/>
                <w:color w:val="000000"/>
                <w:sz w:val="24"/>
              </w:rPr>
            </w:pPr>
            <w:r>
              <w:rPr>
                <w:rFonts w:hint="eastAsia" w:eastAsia="黑体"/>
                <w:color w:val="000000"/>
                <w:sz w:val="24"/>
              </w:rPr>
              <w:t>脚手架搭设</w:t>
            </w:r>
          </w:p>
        </w:tc>
        <w:tc>
          <w:tcPr>
            <w:tcW w:w="707" w:type="pct"/>
            <w:noWrap w:val="0"/>
            <w:vAlign w:val="center"/>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材料、构配件不合格，不按方案要求搭设，易发生脚手架坍塌等事故。</w:t>
            </w:r>
          </w:p>
        </w:tc>
        <w:tc>
          <w:tcPr>
            <w:tcW w:w="761" w:type="pct"/>
            <w:noWrap w:val="0"/>
            <w:vAlign w:val="center"/>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1.材料、构配件、设施必须验收合格方可使用。</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2.搭设必须按照方案进行。</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3. ……</w:t>
            </w:r>
          </w:p>
        </w:tc>
        <w:tc>
          <w:tcPr>
            <w:tcW w:w="2081" w:type="pct"/>
            <w:noWrap w:val="0"/>
            <w:vAlign w:val="top"/>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1.搭设脚手架的材料、构配件和设备应按进入施工现场的批次分品种、规格进行检验、检验合格后方可搭设施工 。</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2.脚手架应按顺序搭设，落地作业脚手架、悬挑脚手架的搭设应与工程施工同步，一次搭设高度不应超过最上层连墙件两步，且自由高度超过规定。</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3.连墙件的安装必须随作业脚手架搭设同步进行，严禁滞后安装。</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4.当作业脚手架操作层高出相</w:t>
            </w:r>
            <w:r>
              <w:rPr>
                <w:rFonts w:hint="eastAsia" w:ascii="仿宋" w:hAnsi="仿宋" w:eastAsia="仿宋" w:cs="仿宋"/>
                <w:color w:val="000000"/>
                <w:sz w:val="24"/>
                <w:lang w:val="en-US" w:eastAsia="zh-CN"/>
              </w:rPr>
              <w:t>邻</w:t>
            </w:r>
            <w:r>
              <w:rPr>
                <w:rFonts w:hint="eastAsia" w:ascii="仿宋" w:hAnsi="仿宋" w:eastAsia="仿宋" w:cs="仿宋"/>
                <w:color w:val="000000"/>
                <w:sz w:val="24"/>
              </w:rPr>
              <w:t>连墙件2个步距及以上时，在上层连墙件安装完毕前，必须采取临时拉结措施。</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5.支撑脚手架的水平杆应按步距沿纵向和横向通长连续设置，不得缺失。在支撑脚手架立杆底部应设置纵向和横向扫地杆，水平杆和扫地杆应与相邻立杆连接牢固。</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6.架体分段搭设、分段使用必须进行分段验收。</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7. ……</w:t>
            </w:r>
          </w:p>
        </w:tc>
        <w:tc>
          <w:tcPr>
            <w:tcW w:w="605" w:type="pct"/>
            <w:noWrap w:val="0"/>
            <w:vAlign w:val="center"/>
          </w:tcPr>
          <w:p>
            <w:pPr>
              <w:spacing w:line="320" w:lineRule="exact"/>
              <w:jc w:val="left"/>
              <w:rPr>
                <w:rFonts w:hint="eastAsia" w:ascii="仿宋" w:hAnsi="仿宋" w:eastAsia="仿宋" w:cs="仿宋"/>
                <w:color w:val="000000"/>
                <w:sz w:val="24"/>
                <w:lang w:eastAsia="zh-CN"/>
              </w:rPr>
            </w:pPr>
            <w:r>
              <w:rPr>
                <w:rFonts w:hint="eastAsia" w:ascii="仿宋" w:hAnsi="仿宋" w:eastAsia="仿宋" w:cs="仿宋"/>
                <w:color w:val="000000"/>
                <w:sz w:val="24"/>
              </w:rPr>
              <w:t>项目材料员负责材料采购、质量员负责材料进场验收，技术员负责技术指导巡视检查、施工员负责实施，安全员负责监督管理，项目技术负责人组织验收</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noWrap w:val="0"/>
            <w:vAlign w:val="center"/>
          </w:tcPr>
          <w:p>
            <w:pPr>
              <w:spacing w:line="320" w:lineRule="exact"/>
              <w:jc w:val="center"/>
              <w:rPr>
                <w:rFonts w:eastAsia="黑体"/>
                <w:color w:val="000000"/>
                <w:sz w:val="24"/>
              </w:rPr>
            </w:pPr>
            <w:r>
              <w:rPr>
                <w:rFonts w:hint="eastAsia" w:eastAsia="黑体"/>
                <w:color w:val="000000"/>
                <w:sz w:val="24"/>
              </w:rPr>
              <w:t>9-4</w:t>
            </w:r>
          </w:p>
        </w:tc>
        <w:tc>
          <w:tcPr>
            <w:tcW w:w="489" w:type="pct"/>
            <w:noWrap w:val="0"/>
            <w:vAlign w:val="center"/>
          </w:tcPr>
          <w:p>
            <w:pPr>
              <w:spacing w:line="320" w:lineRule="exact"/>
              <w:rPr>
                <w:rFonts w:eastAsia="黑体"/>
                <w:color w:val="000000"/>
                <w:sz w:val="24"/>
              </w:rPr>
            </w:pPr>
            <w:r>
              <w:rPr>
                <w:rFonts w:hint="eastAsia" w:eastAsia="黑体"/>
                <w:color w:val="000000"/>
                <w:sz w:val="24"/>
              </w:rPr>
              <w:t>脚手架搭设</w:t>
            </w:r>
          </w:p>
        </w:tc>
        <w:tc>
          <w:tcPr>
            <w:tcW w:w="707" w:type="pct"/>
            <w:noWrap w:val="0"/>
            <w:vAlign w:val="center"/>
          </w:tcPr>
          <w:p>
            <w:pPr>
              <w:spacing w:line="320" w:lineRule="exact"/>
              <w:rPr>
                <w:rFonts w:hint="eastAsia" w:ascii="仿宋" w:hAnsi="仿宋" w:eastAsia="仿宋" w:cs="仿宋"/>
                <w:color w:val="000000"/>
                <w:sz w:val="24"/>
                <w:lang w:eastAsia="zh-CN"/>
              </w:rPr>
            </w:pPr>
            <w:r>
              <w:rPr>
                <w:rFonts w:hint="eastAsia" w:ascii="仿宋" w:hAnsi="仿宋" w:eastAsia="仿宋" w:cs="仿宋"/>
                <w:color w:val="000000"/>
                <w:sz w:val="24"/>
              </w:rPr>
              <w:t>不按方案进行拆除，易发生坍塌等事故</w:t>
            </w:r>
            <w:r>
              <w:rPr>
                <w:rFonts w:hint="eastAsia" w:ascii="仿宋" w:hAnsi="仿宋" w:eastAsia="仿宋" w:cs="仿宋"/>
                <w:color w:val="000000"/>
                <w:sz w:val="24"/>
                <w:lang w:eastAsia="zh-CN"/>
              </w:rPr>
              <w:t>。</w:t>
            </w:r>
          </w:p>
        </w:tc>
        <w:tc>
          <w:tcPr>
            <w:tcW w:w="761" w:type="pct"/>
            <w:noWrap w:val="0"/>
            <w:vAlign w:val="center"/>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1.架体按顺序拆除。</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2.拆除应按照方案实施。</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3. ……</w:t>
            </w:r>
          </w:p>
        </w:tc>
        <w:tc>
          <w:tcPr>
            <w:tcW w:w="2081" w:type="pct"/>
            <w:noWrap w:val="0"/>
            <w:vAlign w:val="top"/>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1.架体的拆除应从上而下逐层进行，严禁上下同时作业。</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2.同层杆件和构配件必须按先外后内的顺序拆除；剪刀撑、斜撑杆等加固杆件必须在拆卸至该杆件所在部位时再拆除。</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3.作业脚手架连墙件必须随架体逐层拆除，严禁先将连墙件整层或数层拆除后再拆架体。拆除作业过程中，当架体的自由端高度超过2个步距时，必须采取临时拉结措施。</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4. ……</w:t>
            </w:r>
          </w:p>
        </w:tc>
        <w:tc>
          <w:tcPr>
            <w:tcW w:w="605" w:type="pct"/>
            <w:noWrap w:val="0"/>
            <w:vAlign w:val="center"/>
          </w:tcPr>
          <w:p>
            <w:pPr>
              <w:spacing w:line="320" w:lineRule="exact"/>
              <w:jc w:val="left"/>
              <w:rPr>
                <w:rFonts w:hint="eastAsia" w:ascii="仿宋" w:hAnsi="仿宋" w:eastAsia="仿宋" w:cs="仿宋"/>
                <w:color w:val="000000"/>
                <w:sz w:val="24"/>
                <w:lang w:eastAsia="zh-CN"/>
              </w:rPr>
            </w:pPr>
            <w:r>
              <w:rPr>
                <w:rFonts w:hint="eastAsia" w:ascii="仿宋" w:hAnsi="仿宋" w:eastAsia="仿宋" w:cs="仿宋"/>
                <w:color w:val="000000"/>
                <w:sz w:val="24"/>
              </w:rPr>
              <w:t>技术员负责技术指导巡视检查、施工员负责实施，安全员负责监督管理，项目技术负责人组织验收</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noWrap w:val="0"/>
            <w:vAlign w:val="center"/>
          </w:tcPr>
          <w:p>
            <w:pPr>
              <w:spacing w:line="320" w:lineRule="exact"/>
              <w:jc w:val="center"/>
              <w:rPr>
                <w:rFonts w:eastAsia="黑体"/>
                <w:color w:val="000000"/>
                <w:sz w:val="24"/>
              </w:rPr>
            </w:pPr>
            <w:r>
              <w:rPr>
                <w:rFonts w:hint="eastAsia" w:eastAsia="黑体"/>
                <w:color w:val="000000"/>
                <w:sz w:val="24"/>
              </w:rPr>
              <w:t>9-5</w:t>
            </w:r>
          </w:p>
        </w:tc>
        <w:tc>
          <w:tcPr>
            <w:tcW w:w="489" w:type="pct"/>
            <w:noWrap w:val="0"/>
            <w:vAlign w:val="center"/>
          </w:tcPr>
          <w:p>
            <w:pPr>
              <w:spacing w:line="320" w:lineRule="exact"/>
              <w:rPr>
                <w:rFonts w:eastAsia="黑体"/>
                <w:color w:val="000000"/>
                <w:sz w:val="24"/>
              </w:rPr>
            </w:pPr>
            <w:r>
              <w:rPr>
                <w:rFonts w:hint="eastAsia" w:eastAsia="黑体"/>
                <w:color w:val="000000"/>
                <w:sz w:val="24"/>
              </w:rPr>
              <w:t>安全管理</w:t>
            </w:r>
          </w:p>
        </w:tc>
        <w:tc>
          <w:tcPr>
            <w:tcW w:w="707" w:type="pct"/>
            <w:noWrap w:val="0"/>
            <w:vAlign w:val="center"/>
          </w:tcPr>
          <w:p>
            <w:pPr>
              <w:spacing w:line="320" w:lineRule="exact"/>
              <w:rPr>
                <w:rFonts w:hint="eastAsia" w:ascii="仿宋" w:hAnsi="仿宋" w:eastAsia="仿宋" w:cs="仿宋"/>
                <w:color w:val="000000"/>
                <w:sz w:val="24"/>
                <w:lang w:eastAsia="zh-CN"/>
              </w:rPr>
            </w:pPr>
            <w:r>
              <w:rPr>
                <w:rFonts w:hint="eastAsia" w:ascii="仿宋" w:hAnsi="仿宋" w:eastAsia="仿宋" w:cs="仿宋"/>
                <w:color w:val="000000"/>
                <w:sz w:val="24"/>
              </w:rPr>
              <w:t>安全管理不到位易发生高坠、脚手架坍塌等事故</w:t>
            </w:r>
            <w:r>
              <w:rPr>
                <w:rFonts w:hint="eastAsia" w:ascii="仿宋" w:hAnsi="仿宋" w:eastAsia="仿宋" w:cs="仿宋"/>
                <w:color w:val="000000"/>
                <w:sz w:val="24"/>
                <w:lang w:eastAsia="zh-CN"/>
              </w:rPr>
              <w:t>。</w:t>
            </w:r>
          </w:p>
        </w:tc>
        <w:tc>
          <w:tcPr>
            <w:tcW w:w="761" w:type="pct"/>
            <w:noWrap w:val="0"/>
            <w:vAlign w:val="center"/>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施工现场应建立脚手架工程施工安全管理体系和安全检查、安全考核制度。</w:t>
            </w:r>
          </w:p>
        </w:tc>
        <w:tc>
          <w:tcPr>
            <w:tcW w:w="2081" w:type="pct"/>
            <w:noWrap w:val="0"/>
            <w:vAlign w:val="top"/>
          </w:tcPr>
          <w:p>
            <w:pPr>
              <w:spacing w:line="320" w:lineRule="exact"/>
              <w:rPr>
                <w:rFonts w:hint="eastAsia" w:ascii="仿宋" w:hAnsi="仿宋" w:eastAsia="仿宋" w:cs="仿宋"/>
                <w:color w:val="000000"/>
                <w:sz w:val="24"/>
              </w:rPr>
            </w:pPr>
            <w:r>
              <w:rPr>
                <w:rFonts w:hint="eastAsia" w:ascii="仿宋" w:hAnsi="仿宋" w:eastAsia="仿宋" w:cs="仿宋"/>
                <w:color w:val="000000"/>
                <w:sz w:val="24"/>
              </w:rPr>
              <w:t>1.雷雨天气、6级及以上强风天气应停止架上作业；雨、雪、雾天气应停止脚手架的搭设和拆除作业； 雨、雪、霜后上架作业应采取有效的防滑措施，并应清除积雪。</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2.搭设和拆除脚手架作业监督严格按照施工专项方案执行。</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3.脚手架在使用过程中，应定期进行检查。</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4.根据安装和拆除范围设置隔离区，项目管理人员或安全员现场进行监督。</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5.作业脚手架连墙件拆除，专人负责监督指挥，发现拆除顺序与方案不符，立即制止，停止作业。</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6.作业人员系好安全带，戴安全帽，穿防滑鞋。</w:t>
            </w:r>
          </w:p>
          <w:p>
            <w:pPr>
              <w:spacing w:line="320" w:lineRule="exact"/>
              <w:rPr>
                <w:rFonts w:hint="eastAsia" w:ascii="仿宋" w:hAnsi="仿宋" w:eastAsia="仿宋" w:cs="仿宋"/>
                <w:color w:val="000000"/>
                <w:sz w:val="24"/>
              </w:rPr>
            </w:pPr>
            <w:r>
              <w:rPr>
                <w:rFonts w:hint="eastAsia" w:ascii="仿宋" w:hAnsi="仿宋" w:eastAsia="仿宋" w:cs="仿宋"/>
                <w:color w:val="000000"/>
                <w:sz w:val="24"/>
              </w:rPr>
              <w:t>7. ……</w:t>
            </w:r>
          </w:p>
        </w:tc>
        <w:tc>
          <w:tcPr>
            <w:tcW w:w="605" w:type="pct"/>
            <w:noWrap w:val="0"/>
            <w:vAlign w:val="center"/>
          </w:tcPr>
          <w:p>
            <w:pPr>
              <w:spacing w:line="320" w:lineRule="exact"/>
              <w:jc w:val="left"/>
              <w:rPr>
                <w:rFonts w:hint="eastAsia" w:ascii="仿宋" w:hAnsi="仿宋" w:eastAsia="仿宋" w:cs="仿宋"/>
                <w:color w:val="000000"/>
                <w:sz w:val="24"/>
                <w:lang w:eastAsia="zh-CN"/>
              </w:rPr>
            </w:pPr>
            <w:r>
              <w:rPr>
                <w:rFonts w:hint="eastAsia" w:ascii="仿宋" w:hAnsi="仿宋" w:eastAsia="仿宋" w:cs="仿宋"/>
                <w:color w:val="000000"/>
                <w:sz w:val="24"/>
              </w:rPr>
              <w:t>现场管理人员专门指挥，技术人员巡视检查，安全员现场监督</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 w:type="pct"/>
            <w:noWrap w:val="0"/>
            <w:vAlign w:val="center"/>
          </w:tcPr>
          <w:p>
            <w:pPr>
              <w:spacing w:line="320" w:lineRule="exact"/>
              <w:jc w:val="center"/>
              <w:rPr>
                <w:rFonts w:hint="eastAsia" w:eastAsia="黑体"/>
                <w:color w:val="000000"/>
                <w:sz w:val="24"/>
              </w:rPr>
            </w:pPr>
            <w:r>
              <w:rPr>
                <w:rFonts w:hint="eastAsia" w:eastAsia="仿宋_GB2312"/>
                <w:color w:val="000000"/>
              </w:rPr>
              <w:t>……</w:t>
            </w:r>
          </w:p>
        </w:tc>
        <w:tc>
          <w:tcPr>
            <w:tcW w:w="489" w:type="pct"/>
            <w:noWrap w:val="0"/>
            <w:vAlign w:val="center"/>
          </w:tcPr>
          <w:p>
            <w:pPr>
              <w:spacing w:line="320" w:lineRule="exact"/>
              <w:rPr>
                <w:rFonts w:eastAsia="黑体"/>
                <w:color w:val="000000"/>
                <w:sz w:val="24"/>
              </w:rPr>
            </w:pPr>
            <w:r>
              <w:rPr>
                <w:rFonts w:hint="eastAsia" w:eastAsia="仿宋_GB2312"/>
                <w:color w:val="000000"/>
              </w:rPr>
              <w:t>……</w:t>
            </w:r>
          </w:p>
        </w:tc>
        <w:tc>
          <w:tcPr>
            <w:tcW w:w="707" w:type="pct"/>
            <w:noWrap w:val="0"/>
            <w:vAlign w:val="center"/>
          </w:tcPr>
          <w:p>
            <w:pPr>
              <w:spacing w:line="320" w:lineRule="exact"/>
              <w:rPr>
                <w:rFonts w:eastAsia="仿宋_GB2312"/>
                <w:color w:val="000000"/>
                <w:sz w:val="24"/>
              </w:rPr>
            </w:pPr>
            <w:r>
              <w:rPr>
                <w:rFonts w:hint="eastAsia" w:eastAsia="仿宋_GB2312"/>
                <w:color w:val="000000"/>
              </w:rPr>
              <w:t>……</w:t>
            </w:r>
          </w:p>
        </w:tc>
        <w:tc>
          <w:tcPr>
            <w:tcW w:w="761" w:type="pct"/>
            <w:noWrap w:val="0"/>
            <w:vAlign w:val="center"/>
          </w:tcPr>
          <w:p>
            <w:pPr>
              <w:spacing w:line="320" w:lineRule="exact"/>
              <w:rPr>
                <w:rFonts w:eastAsia="仿宋_GB2312"/>
                <w:color w:val="000000"/>
                <w:sz w:val="24"/>
              </w:rPr>
            </w:pPr>
            <w:r>
              <w:rPr>
                <w:rFonts w:hint="eastAsia" w:eastAsia="仿宋_GB2312"/>
                <w:color w:val="000000"/>
              </w:rPr>
              <w:t>……</w:t>
            </w:r>
          </w:p>
        </w:tc>
        <w:tc>
          <w:tcPr>
            <w:tcW w:w="2081" w:type="pct"/>
            <w:noWrap w:val="0"/>
            <w:vAlign w:val="top"/>
          </w:tcPr>
          <w:p>
            <w:pPr>
              <w:spacing w:line="320" w:lineRule="exact"/>
              <w:rPr>
                <w:rFonts w:hint="eastAsia" w:eastAsia="仿宋_GB2312"/>
                <w:color w:val="000000"/>
                <w:sz w:val="24"/>
              </w:rPr>
            </w:pPr>
            <w:r>
              <w:rPr>
                <w:rFonts w:hint="eastAsia" w:eastAsia="仿宋_GB2312"/>
                <w:color w:val="000000"/>
              </w:rPr>
              <w:t>……</w:t>
            </w:r>
          </w:p>
        </w:tc>
        <w:tc>
          <w:tcPr>
            <w:tcW w:w="605" w:type="pct"/>
            <w:noWrap w:val="0"/>
            <w:vAlign w:val="center"/>
          </w:tcPr>
          <w:p>
            <w:pPr>
              <w:spacing w:line="320" w:lineRule="exact"/>
              <w:jc w:val="left"/>
              <w:rPr>
                <w:rFonts w:hint="eastAsia" w:eastAsia="仿宋_GB2312"/>
                <w:color w:val="000000"/>
                <w:sz w:val="24"/>
              </w:rPr>
            </w:pPr>
            <w:r>
              <w:rPr>
                <w:rFonts w:hint="eastAsia" w:eastAsia="仿宋_GB2312"/>
                <w:color w:val="000000"/>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方正小标宋简体">
    <w:panose1 w:val="03000509000000000000"/>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09967D23"/>
    <w:rsid w:val="093277A9"/>
    <w:rsid w:val="09967D23"/>
    <w:rsid w:val="0C00517C"/>
    <w:rsid w:val="0DEA1EA6"/>
    <w:rsid w:val="1BD80837"/>
    <w:rsid w:val="1C7F2A05"/>
    <w:rsid w:val="1D222E46"/>
    <w:rsid w:val="269B0465"/>
    <w:rsid w:val="2DD907B5"/>
    <w:rsid w:val="332858D5"/>
    <w:rsid w:val="341C3FDE"/>
    <w:rsid w:val="3599165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 w:val="FF3BF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0</TotalTime>
  <ScaleCrop>false</ScaleCrop>
  <LinksUpToDate>false</LinksUpToDate>
  <CharactersWithSpaces>8</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2023-03-03T15:36:00Z</dcterms:created>
  <dc:creator>孙瑞</dc:creator>
  <cp:lastModifiedBy>WPS_1513130633</cp:lastModifiedBy>
  <dcterms:modified xsi:type="dcterms:W3CDTF">2023-03-03T17:18:22Z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4136DFDD05DE484E967B0F97350E7A6B</vt:lpwstr>
  </property>
</Properties>
</file>