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65"/>
        <w:ind w:left="212"/>
        <w:jc w:val="center"/>
        <w:rPr>
          <w:rFonts w:hint="eastAsia" w:ascii="黑体" w:hAnsi="黑体" w:eastAsia="黑体" w:cs="黑体"/>
          <w:sz w:val="44"/>
          <w:szCs w:val="44"/>
        </w:rPr>
      </w:pPr>
      <w:bookmarkStart w:id="0" w:name="_GoBack"/>
      <w:r>
        <w:rPr>
          <w:rFonts w:hint="eastAsia" w:ascii="黑体" w:hAnsi="黑体" w:eastAsia="黑体" w:cs="黑体"/>
          <w:spacing w:val="-9"/>
          <w:sz w:val="44"/>
          <w:szCs w:val="44"/>
        </w:rPr>
        <w:t>燃气经营企业日常安全检查工作清单</w:t>
      </w:r>
    </w:p>
    <w:bookmarkEnd w:id="0"/>
    <w:p>
      <w:pPr>
        <w:pStyle w:val="2"/>
        <w:spacing w:before="18" w:after="46"/>
        <w:ind w:right="688"/>
        <w:jc w:val="right"/>
        <w:rPr>
          <w:rFonts w:hint="eastAsia" w:ascii="黑体" w:hAnsi="黑体" w:eastAsia="黑体" w:cs="黑体"/>
        </w:rPr>
      </w:pPr>
      <w:r>
        <w:rPr>
          <w:rFonts w:hint="eastAsia" w:ascii="黑体" w:hAnsi="黑体" w:eastAsia="黑体" w:cs="黑体"/>
          <w:spacing w:val="-8"/>
        </w:rPr>
        <w:t>（清单编号：</w:t>
      </w:r>
      <w:r>
        <w:rPr>
          <w:rFonts w:hint="eastAsia" w:ascii="黑体" w:hAnsi="黑体" w:eastAsia="黑体" w:cs="黑体"/>
          <w:spacing w:val="-8"/>
        </w:rPr>
        <w:t>4—1</w:t>
      </w:r>
      <w:r>
        <w:rPr>
          <w:rFonts w:hint="eastAsia" w:ascii="黑体" w:hAnsi="黑体" w:eastAsia="黑体" w:cs="黑体"/>
          <w:spacing w:val="-8"/>
        </w:rPr>
        <w:t>）</w:t>
      </w:r>
    </w:p>
    <w:tbl>
      <w:tblPr>
        <w:tblStyle w:val="3"/>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1426"/>
        <w:gridCol w:w="1627"/>
        <w:gridCol w:w="7703"/>
        <w:gridCol w:w="1842"/>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6" w:hRule="atLeast"/>
        </w:trPr>
        <w:tc>
          <w:tcPr>
            <w:tcW w:w="824" w:type="dxa"/>
            <w:vMerge w:val="restart"/>
          </w:tcPr>
          <w:p>
            <w:pPr>
              <w:pStyle w:val="5"/>
              <w:spacing w:before="9"/>
              <w:rPr>
                <w:rFonts w:hint="eastAsia" w:ascii="黑体" w:hAnsi="黑体" w:eastAsia="黑体" w:cs="黑体"/>
                <w:sz w:val="22"/>
              </w:rPr>
            </w:pPr>
          </w:p>
          <w:p>
            <w:pPr>
              <w:pStyle w:val="5"/>
              <w:ind w:left="204"/>
              <w:rPr>
                <w:rFonts w:hint="eastAsia" w:ascii="黑体" w:hAnsi="黑体" w:eastAsia="黑体" w:cs="黑体"/>
                <w:sz w:val="21"/>
              </w:rPr>
            </w:pPr>
            <w:r>
              <w:rPr>
                <w:rFonts w:hint="eastAsia" w:ascii="黑体" w:hAnsi="黑体" w:eastAsia="黑体" w:cs="黑体"/>
                <w:spacing w:val="-9"/>
                <w:sz w:val="21"/>
              </w:rPr>
              <w:t>序号</w:t>
            </w:r>
          </w:p>
        </w:tc>
        <w:tc>
          <w:tcPr>
            <w:tcW w:w="3053" w:type="dxa"/>
            <w:gridSpan w:val="2"/>
          </w:tcPr>
          <w:p>
            <w:pPr>
              <w:pStyle w:val="5"/>
              <w:spacing w:line="337" w:lineRule="exact"/>
              <w:ind w:left="1102" w:right="1092"/>
              <w:jc w:val="center"/>
              <w:rPr>
                <w:rFonts w:hint="eastAsia" w:ascii="黑体" w:hAnsi="黑体" w:eastAsia="黑体" w:cs="黑体"/>
                <w:sz w:val="21"/>
              </w:rPr>
            </w:pPr>
            <w:r>
              <w:rPr>
                <w:rFonts w:hint="eastAsia" w:ascii="黑体" w:hAnsi="黑体" w:eastAsia="黑体" w:cs="黑体"/>
                <w:spacing w:val="-8"/>
                <w:sz w:val="21"/>
              </w:rPr>
              <w:t>检查项目</w:t>
            </w:r>
          </w:p>
        </w:tc>
        <w:tc>
          <w:tcPr>
            <w:tcW w:w="7703" w:type="dxa"/>
            <w:vMerge w:val="restart"/>
          </w:tcPr>
          <w:p>
            <w:pPr>
              <w:pStyle w:val="5"/>
              <w:spacing w:before="9"/>
              <w:rPr>
                <w:rFonts w:hint="eastAsia" w:ascii="黑体" w:hAnsi="黑体" w:eastAsia="黑体" w:cs="黑体"/>
                <w:sz w:val="22"/>
              </w:rPr>
            </w:pPr>
          </w:p>
          <w:p>
            <w:pPr>
              <w:pStyle w:val="5"/>
              <w:ind w:left="3428" w:right="3417"/>
              <w:jc w:val="center"/>
              <w:rPr>
                <w:rFonts w:hint="eastAsia" w:ascii="黑体" w:hAnsi="黑体" w:eastAsia="黑体" w:cs="黑体"/>
                <w:sz w:val="21"/>
              </w:rPr>
            </w:pPr>
            <w:r>
              <w:rPr>
                <w:rFonts w:hint="eastAsia" w:ascii="黑体" w:hAnsi="黑体" w:eastAsia="黑体" w:cs="黑体"/>
                <w:spacing w:val="-8"/>
                <w:sz w:val="21"/>
              </w:rPr>
              <w:t>检查清单</w:t>
            </w:r>
          </w:p>
        </w:tc>
        <w:tc>
          <w:tcPr>
            <w:tcW w:w="1842" w:type="dxa"/>
            <w:vMerge w:val="restart"/>
          </w:tcPr>
          <w:p>
            <w:pPr>
              <w:pStyle w:val="5"/>
              <w:spacing w:line="306" w:lineRule="exact"/>
              <w:ind w:left="194" w:right="184"/>
              <w:jc w:val="center"/>
              <w:rPr>
                <w:rFonts w:hint="eastAsia" w:ascii="黑体" w:hAnsi="黑体" w:eastAsia="黑体" w:cs="黑体"/>
                <w:sz w:val="21"/>
              </w:rPr>
            </w:pPr>
            <w:r>
              <w:rPr>
                <w:rFonts w:hint="eastAsia" w:ascii="黑体" w:hAnsi="黑体" w:eastAsia="黑体" w:cs="黑体"/>
                <w:spacing w:val="-8"/>
                <w:sz w:val="21"/>
              </w:rPr>
              <w:t>责任人</w:t>
            </w:r>
          </w:p>
          <w:p>
            <w:pPr>
              <w:pStyle w:val="5"/>
              <w:spacing w:before="25" w:line="204" w:lineRule="auto"/>
              <w:ind w:left="200" w:right="184"/>
              <w:jc w:val="center"/>
              <w:rPr>
                <w:rFonts w:hint="eastAsia" w:ascii="黑体" w:hAnsi="黑体" w:eastAsia="黑体" w:cs="黑体"/>
                <w:sz w:val="21"/>
              </w:rPr>
            </w:pPr>
            <w:r>
              <w:rPr>
                <w:rFonts w:hint="eastAsia" w:ascii="黑体" w:hAnsi="黑体" w:eastAsia="黑体" w:cs="黑体"/>
                <w:spacing w:val="-6"/>
                <w:sz w:val="21"/>
              </w:rPr>
              <w:t>（明确到各岗位一线操作者具体</w:t>
            </w:r>
            <w:r>
              <w:rPr>
                <w:rFonts w:hint="eastAsia" w:ascii="黑体" w:hAnsi="黑体" w:eastAsia="黑体" w:cs="黑体"/>
                <w:spacing w:val="-4"/>
                <w:sz w:val="21"/>
              </w:rPr>
              <w:t>责任人）</w:t>
            </w:r>
          </w:p>
        </w:tc>
        <w:tc>
          <w:tcPr>
            <w:tcW w:w="1340" w:type="dxa"/>
            <w:vMerge w:val="restart"/>
          </w:tcPr>
          <w:p>
            <w:pPr>
              <w:pStyle w:val="5"/>
              <w:spacing w:before="164" w:line="289" w:lineRule="exact"/>
              <w:ind w:left="449" w:right="438"/>
              <w:jc w:val="center"/>
              <w:rPr>
                <w:rFonts w:hint="eastAsia" w:ascii="黑体" w:hAnsi="黑体" w:eastAsia="黑体" w:cs="黑体"/>
                <w:sz w:val="21"/>
              </w:rPr>
            </w:pPr>
            <w:r>
              <w:rPr>
                <w:rFonts w:hint="eastAsia" w:ascii="黑体" w:hAnsi="黑体" w:eastAsia="黑体" w:cs="黑体"/>
                <w:spacing w:val="-9"/>
                <w:sz w:val="21"/>
              </w:rPr>
              <w:t>备注</w:t>
            </w:r>
          </w:p>
          <w:p>
            <w:pPr>
              <w:pStyle w:val="5"/>
              <w:spacing w:before="10" w:line="213" w:lineRule="auto"/>
              <w:ind w:left="155" w:right="140"/>
              <w:jc w:val="both"/>
              <w:rPr>
                <w:rFonts w:hint="eastAsia" w:ascii="黑体" w:hAnsi="黑体" w:eastAsia="黑体" w:cs="黑体"/>
                <w:sz w:val="21"/>
              </w:rPr>
            </w:pPr>
            <w:r>
              <w:rPr>
                <w:rFonts w:hint="eastAsia" w:ascii="黑体" w:hAnsi="黑体" w:eastAsia="黑体" w:cs="黑体"/>
                <w:spacing w:val="-6"/>
                <w:sz w:val="21"/>
              </w:rPr>
              <w:t>（明确检查周期、抽查</w:t>
            </w:r>
            <w:r>
              <w:rPr>
                <w:rFonts w:hint="eastAsia" w:ascii="黑体" w:hAnsi="黑体" w:eastAsia="黑体" w:cs="黑体"/>
                <w:spacing w:val="-4"/>
                <w:sz w:val="21"/>
              </w:rPr>
              <w:t>比例等）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0" w:hRule="atLeast"/>
        </w:trPr>
        <w:tc>
          <w:tcPr>
            <w:tcW w:w="824" w:type="dxa"/>
            <w:vMerge w:val="continue"/>
            <w:tcBorders>
              <w:top w:val="nil"/>
            </w:tcBorders>
          </w:tcPr>
          <w:p>
            <w:pPr>
              <w:rPr>
                <w:rFonts w:hint="eastAsia" w:ascii="黑体" w:hAnsi="黑体" w:eastAsia="黑体" w:cs="黑体"/>
                <w:sz w:val="2"/>
                <w:szCs w:val="2"/>
              </w:rPr>
            </w:pPr>
          </w:p>
        </w:tc>
        <w:tc>
          <w:tcPr>
            <w:tcW w:w="1426" w:type="dxa"/>
          </w:tcPr>
          <w:p>
            <w:pPr>
              <w:pStyle w:val="5"/>
              <w:spacing w:before="239"/>
              <w:ind w:left="300"/>
              <w:rPr>
                <w:rFonts w:hint="eastAsia" w:ascii="黑体" w:hAnsi="黑体" w:eastAsia="黑体" w:cs="黑体"/>
                <w:sz w:val="21"/>
              </w:rPr>
            </w:pPr>
            <w:r>
              <w:rPr>
                <w:rFonts w:hint="eastAsia" w:ascii="黑体" w:hAnsi="黑体" w:eastAsia="黑体" w:cs="黑体"/>
                <w:spacing w:val="-8"/>
                <w:sz w:val="21"/>
              </w:rPr>
              <w:t>一级要素</w:t>
            </w:r>
          </w:p>
        </w:tc>
        <w:tc>
          <w:tcPr>
            <w:tcW w:w="1627" w:type="dxa"/>
          </w:tcPr>
          <w:p>
            <w:pPr>
              <w:pStyle w:val="5"/>
              <w:spacing w:before="239"/>
              <w:ind w:left="181" w:right="172"/>
              <w:jc w:val="center"/>
              <w:rPr>
                <w:rFonts w:hint="eastAsia" w:ascii="黑体" w:hAnsi="黑体" w:eastAsia="黑体" w:cs="黑体"/>
                <w:sz w:val="21"/>
              </w:rPr>
            </w:pPr>
            <w:r>
              <w:rPr>
                <w:rFonts w:hint="eastAsia" w:ascii="黑体" w:hAnsi="黑体" w:eastAsia="黑体" w:cs="黑体"/>
                <w:spacing w:val="-8"/>
                <w:sz w:val="21"/>
              </w:rPr>
              <w:t>二级要素</w:t>
            </w:r>
          </w:p>
        </w:tc>
        <w:tc>
          <w:tcPr>
            <w:tcW w:w="7703" w:type="dxa"/>
            <w:vMerge w:val="continue"/>
            <w:tcBorders>
              <w:top w:val="nil"/>
            </w:tcBorders>
          </w:tcPr>
          <w:p>
            <w:pPr>
              <w:rPr>
                <w:rFonts w:hint="eastAsia" w:ascii="黑体" w:hAnsi="黑体" w:eastAsia="黑体" w:cs="黑体"/>
                <w:sz w:val="2"/>
                <w:szCs w:val="2"/>
              </w:rPr>
            </w:pPr>
          </w:p>
        </w:tc>
        <w:tc>
          <w:tcPr>
            <w:tcW w:w="1842" w:type="dxa"/>
            <w:vMerge w:val="continue"/>
            <w:tcBorders>
              <w:top w:val="nil"/>
            </w:tcBorders>
          </w:tcPr>
          <w:p>
            <w:pPr>
              <w:rPr>
                <w:rFonts w:hint="eastAsia" w:ascii="黑体" w:hAnsi="黑体" w:eastAsia="黑体" w:cs="黑体"/>
                <w:sz w:val="2"/>
                <w:szCs w:val="2"/>
              </w:rPr>
            </w:pPr>
          </w:p>
        </w:tc>
        <w:tc>
          <w:tcPr>
            <w:tcW w:w="1340" w:type="dxa"/>
            <w:vMerge w:val="continue"/>
            <w:tcBorders>
              <w:top w:val="nil"/>
            </w:tcBorders>
          </w:tcPr>
          <w:p>
            <w:pPr>
              <w:rPr>
                <w:rFonts w:hint="eastAsia" w:ascii="黑体" w:hAnsi="黑体" w:eastAsia="黑体" w:cs="黑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1" w:hRule="atLeast"/>
        </w:trPr>
        <w:tc>
          <w:tcPr>
            <w:tcW w:w="824" w:type="dxa"/>
            <w:vMerge w:val="restart"/>
          </w:tcPr>
          <w:p>
            <w:pPr>
              <w:pStyle w:val="5"/>
              <w:rPr>
                <w:rFonts w:hint="eastAsia" w:ascii="黑体" w:hAnsi="黑体" w:eastAsia="黑体" w:cs="黑体"/>
                <w:sz w:val="22"/>
              </w:rPr>
            </w:pPr>
          </w:p>
          <w:p>
            <w:pPr>
              <w:pStyle w:val="5"/>
              <w:rPr>
                <w:rFonts w:hint="eastAsia" w:ascii="黑体" w:hAnsi="黑体" w:eastAsia="黑体" w:cs="黑体"/>
                <w:sz w:val="22"/>
              </w:rPr>
            </w:pPr>
          </w:p>
          <w:p>
            <w:pPr>
              <w:pStyle w:val="5"/>
              <w:spacing w:before="15"/>
              <w:rPr>
                <w:rFonts w:hint="eastAsia" w:ascii="黑体" w:hAnsi="黑体" w:eastAsia="黑体" w:cs="黑体"/>
                <w:sz w:val="18"/>
              </w:rPr>
            </w:pPr>
          </w:p>
          <w:p>
            <w:pPr>
              <w:pStyle w:val="5"/>
              <w:ind w:left="7"/>
              <w:jc w:val="center"/>
              <w:rPr>
                <w:rFonts w:hint="eastAsia" w:ascii="黑体" w:hAnsi="黑体" w:eastAsia="黑体" w:cs="黑体"/>
                <w:sz w:val="21"/>
              </w:rPr>
            </w:pPr>
            <w:r>
              <w:rPr>
                <w:rFonts w:hint="eastAsia" w:ascii="黑体" w:hAnsi="黑体" w:eastAsia="黑体" w:cs="黑体"/>
                <w:w w:val="99"/>
                <w:sz w:val="21"/>
              </w:rPr>
              <w:t>1</w:t>
            </w:r>
          </w:p>
        </w:tc>
        <w:tc>
          <w:tcPr>
            <w:tcW w:w="1426" w:type="dxa"/>
            <w:vMerge w:val="restart"/>
          </w:tcPr>
          <w:p>
            <w:pPr>
              <w:pStyle w:val="5"/>
              <w:rPr>
                <w:rFonts w:hint="eastAsia" w:ascii="黑体" w:hAnsi="黑体" w:eastAsia="黑体" w:cs="黑体"/>
                <w:sz w:val="20"/>
              </w:rPr>
            </w:pPr>
          </w:p>
          <w:p>
            <w:pPr>
              <w:pStyle w:val="5"/>
              <w:rPr>
                <w:rFonts w:hint="eastAsia" w:ascii="黑体" w:hAnsi="黑体" w:eastAsia="黑体" w:cs="黑体"/>
                <w:sz w:val="20"/>
              </w:rPr>
            </w:pPr>
          </w:p>
          <w:p>
            <w:pPr>
              <w:pStyle w:val="5"/>
              <w:spacing w:before="12"/>
              <w:rPr>
                <w:rFonts w:hint="eastAsia" w:ascii="黑体" w:hAnsi="黑体" w:eastAsia="黑体" w:cs="黑体"/>
                <w:sz w:val="14"/>
              </w:rPr>
            </w:pPr>
          </w:p>
          <w:p>
            <w:pPr>
              <w:pStyle w:val="5"/>
              <w:spacing w:line="213" w:lineRule="auto"/>
              <w:ind w:left="609" w:right="184" w:hanging="413"/>
              <w:rPr>
                <w:rFonts w:hint="eastAsia" w:ascii="黑体" w:hAnsi="黑体" w:eastAsia="黑体" w:cs="黑体"/>
                <w:sz w:val="21"/>
              </w:rPr>
            </w:pPr>
            <w:r>
              <w:rPr>
                <w:rFonts w:hint="eastAsia" w:ascii="黑体" w:hAnsi="黑体" w:eastAsia="黑体" w:cs="黑体"/>
                <w:spacing w:val="-6"/>
                <w:sz w:val="21"/>
              </w:rPr>
              <w:t>安全生产条</w:t>
            </w:r>
            <w:r>
              <w:rPr>
                <w:rFonts w:hint="eastAsia" w:ascii="黑体" w:hAnsi="黑体" w:eastAsia="黑体" w:cs="黑体"/>
                <w:spacing w:val="-10"/>
                <w:sz w:val="21"/>
              </w:rPr>
              <w:t>件</w:t>
            </w:r>
          </w:p>
        </w:tc>
        <w:tc>
          <w:tcPr>
            <w:tcW w:w="1627" w:type="dxa"/>
            <w:vMerge w:val="restart"/>
          </w:tcPr>
          <w:p>
            <w:pPr>
              <w:pStyle w:val="5"/>
              <w:rPr>
                <w:rFonts w:hint="eastAsia" w:ascii="黑体" w:hAnsi="黑体" w:eastAsia="黑体" w:cs="黑体"/>
                <w:sz w:val="20"/>
              </w:rPr>
            </w:pPr>
          </w:p>
          <w:p>
            <w:pPr>
              <w:pStyle w:val="5"/>
              <w:rPr>
                <w:rFonts w:hint="eastAsia" w:ascii="黑体" w:hAnsi="黑体" w:eastAsia="黑体" w:cs="黑体"/>
                <w:sz w:val="20"/>
              </w:rPr>
            </w:pPr>
          </w:p>
          <w:p>
            <w:pPr>
              <w:pStyle w:val="5"/>
              <w:spacing w:before="12"/>
              <w:rPr>
                <w:rFonts w:hint="eastAsia" w:ascii="黑体" w:hAnsi="黑体" w:eastAsia="黑体" w:cs="黑体"/>
                <w:sz w:val="11"/>
              </w:rPr>
            </w:pPr>
          </w:p>
          <w:p>
            <w:pPr>
              <w:pStyle w:val="5"/>
              <w:ind w:left="400"/>
              <w:rPr>
                <w:rFonts w:hint="eastAsia" w:ascii="黑体" w:hAnsi="黑体" w:eastAsia="黑体" w:cs="黑体"/>
                <w:sz w:val="21"/>
              </w:rPr>
            </w:pPr>
            <w:r>
              <w:rPr>
                <w:rFonts w:hint="eastAsia" w:ascii="黑体" w:hAnsi="黑体" w:eastAsia="黑体" w:cs="黑体"/>
                <w:spacing w:val="-8"/>
                <w:sz w:val="21"/>
              </w:rPr>
              <w:t>合规经营</w:t>
            </w:r>
          </w:p>
        </w:tc>
        <w:tc>
          <w:tcPr>
            <w:tcW w:w="7703" w:type="dxa"/>
          </w:tcPr>
          <w:p>
            <w:pPr>
              <w:pStyle w:val="5"/>
              <w:spacing w:before="15" w:line="213" w:lineRule="auto"/>
              <w:ind w:left="107" w:right="169"/>
              <w:rPr>
                <w:rFonts w:hint="eastAsia" w:ascii="黑体" w:hAnsi="黑体" w:eastAsia="黑体" w:cs="黑体"/>
                <w:sz w:val="21"/>
              </w:rPr>
            </w:pPr>
            <w:r>
              <w:rPr>
                <w:rFonts w:hint="eastAsia" w:ascii="黑体" w:hAnsi="黑体" w:eastAsia="黑体" w:cs="黑体"/>
                <w:spacing w:val="-6"/>
                <w:sz w:val="21"/>
              </w:rPr>
              <w:t>识别和获取企业生产经营活动必须符合的法律、法规，各级政府部门安全生产政策</w:t>
            </w:r>
            <w:r>
              <w:rPr>
                <w:rFonts w:hint="eastAsia" w:ascii="黑体" w:hAnsi="黑体" w:eastAsia="黑体" w:cs="黑体"/>
                <w:spacing w:val="-2"/>
                <w:sz w:val="21"/>
              </w:rPr>
              <w:t>文件以及国家标准、行业标准，并进行宣贯、落实。</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7" w:hRule="atLeast"/>
        </w:trPr>
        <w:tc>
          <w:tcPr>
            <w:tcW w:w="824" w:type="dxa"/>
            <w:vMerge w:val="continue"/>
            <w:tcBorders>
              <w:top w:val="nil"/>
            </w:tcBorders>
          </w:tcPr>
          <w:p>
            <w:pPr>
              <w:rPr>
                <w:rFonts w:hint="eastAsia" w:ascii="黑体" w:hAnsi="黑体" w:eastAsia="黑体" w:cs="黑体"/>
                <w:sz w:val="2"/>
                <w:szCs w:val="2"/>
              </w:rPr>
            </w:pPr>
          </w:p>
        </w:tc>
        <w:tc>
          <w:tcPr>
            <w:tcW w:w="1426" w:type="dxa"/>
            <w:vMerge w:val="continue"/>
            <w:tcBorders>
              <w:top w:val="nil"/>
            </w:tcBorders>
          </w:tcPr>
          <w:p>
            <w:pPr>
              <w:rPr>
                <w:rFonts w:hint="eastAsia" w:ascii="黑体" w:hAnsi="黑体" w:eastAsia="黑体" w:cs="黑体"/>
                <w:sz w:val="2"/>
                <w:szCs w:val="2"/>
              </w:rPr>
            </w:pPr>
          </w:p>
        </w:tc>
        <w:tc>
          <w:tcPr>
            <w:tcW w:w="1627" w:type="dxa"/>
            <w:vMerge w:val="continue"/>
            <w:tcBorders>
              <w:top w:val="nil"/>
            </w:tcBorders>
          </w:tcPr>
          <w:p>
            <w:pPr>
              <w:rPr>
                <w:rFonts w:hint="eastAsia" w:ascii="黑体" w:hAnsi="黑体" w:eastAsia="黑体" w:cs="黑体"/>
                <w:sz w:val="2"/>
                <w:szCs w:val="2"/>
              </w:rPr>
            </w:pPr>
          </w:p>
        </w:tc>
        <w:tc>
          <w:tcPr>
            <w:tcW w:w="7703" w:type="dxa"/>
          </w:tcPr>
          <w:p>
            <w:pPr>
              <w:pStyle w:val="5"/>
              <w:spacing w:line="296" w:lineRule="exact"/>
              <w:ind w:left="107"/>
              <w:rPr>
                <w:rFonts w:hint="eastAsia" w:ascii="黑体" w:hAnsi="黑体" w:eastAsia="黑体" w:cs="黑体"/>
                <w:sz w:val="21"/>
              </w:rPr>
            </w:pPr>
            <w:r>
              <w:rPr>
                <w:rFonts w:hint="eastAsia" w:ascii="黑体" w:hAnsi="黑体" w:eastAsia="黑体" w:cs="黑体"/>
                <w:spacing w:val="-7"/>
                <w:sz w:val="21"/>
              </w:rPr>
              <w:t>依法取得相关生产经营许可，在许可范围内从事生产经营。</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3" w:hRule="atLeast"/>
        </w:trPr>
        <w:tc>
          <w:tcPr>
            <w:tcW w:w="824" w:type="dxa"/>
            <w:vMerge w:val="continue"/>
            <w:tcBorders>
              <w:top w:val="nil"/>
            </w:tcBorders>
          </w:tcPr>
          <w:p>
            <w:pPr>
              <w:rPr>
                <w:rFonts w:hint="eastAsia" w:ascii="黑体" w:hAnsi="黑体" w:eastAsia="黑体" w:cs="黑体"/>
                <w:sz w:val="2"/>
                <w:szCs w:val="2"/>
              </w:rPr>
            </w:pPr>
          </w:p>
        </w:tc>
        <w:tc>
          <w:tcPr>
            <w:tcW w:w="1426" w:type="dxa"/>
            <w:vMerge w:val="continue"/>
            <w:tcBorders>
              <w:top w:val="nil"/>
            </w:tcBorders>
          </w:tcPr>
          <w:p>
            <w:pPr>
              <w:rPr>
                <w:rFonts w:hint="eastAsia" w:ascii="黑体" w:hAnsi="黑体" w:eastAsia="黑体" w:cs="黑体"/>
                <w:sz w:val="2"/>
                <w:szCs w:val="2"/>
              </w:rPr>
            </w:pPr>
          </w:p>
        </w:tc>
        <w:tc>
          <w:tcPr>
            <w:tcW w:w="1627" w:type="dxa"/>
            <w:vMerge w:val="continue"/>
            <w:tcBorders>
              <w:top w:val="nil"/>
            </w:tcBorders>
          </w:tcPr>
          <w:p>
            <w:pPr>
              <w:rPr>
                <w:rFonts w:hint="eastAsia" w:ascii="黑体" w:hAnsi="黑体" w:eastAsia="黑体" w:cs="黑体"/>
                <w:sz w:val="2"/>
                <w:szCs w:val="2"/>
              </w:rPr>
            </w:pPr>
          </w:p>
        </w:tc>
        <w:tc>
          <w:tcPr>
            <w:tcW w:w="7703" w:type="dxa"/>
          </w:tcPr>
          <w:p>
            <w:pPr>
              <w:pStyle w:val="5"/>
              <w:spacing w:before="18" w:line="211" w:lineRule="auto"/>
              <w:ind w:left="107" w:right="-15"/>
              <w:rPr>
                <w:rFonts w:hint="eastAsia" w:ascii="黑体" w:hAnsi="黑体" w:eastAsia="黑体" w:cs="黑体"/>
                <w:sz w:val="21"/>
              </w:rPr>
            </w:pPr>
            <w:r>
              <w:rPr>
                <w:rFonts w:hint="eastAsia" w:ascii="黑体" w:hAnsi="黑体" w:eastAsia="黑体" w:cs="黑体"/>
                <w:spacing w:val="-6"/>
                <w:sz w:val="21"/>
              </w:rPr>
              <w:t>识别生产经营过程中的从业人员所必需的资格和能力，明确从业人员相应资质要求，</w:t>
            </w:r>
            <w:r>
              <w:rPr>
                <w:rFonts w:hint="eastAsia" w:ascii="黑体" w:hAnsi="黑体" w:eastAsia="黑体" w:cs="黑体"/>
                <w:spacing w:val="-2"/>
                <w:sz w:val="21"/>
              </w:rPr>
              <w:t>从业人员取得资质要求方可上岗，人员资质证照在有效期内（如安全管理人员、特 种作业人员等</w:t>
            </w:r>
            <w:r>
              <w:rPr>
                <w:rFonts w:hint="eastAsia" w:ascii="黑体" w:hAnsi="黑体" w:eastAsia="黑体" w:cs="黑体"/>
                <w:spacing w:val="-106"/>
                <w:sz w:val="21"/>
              </w:rPr>
              <w:t>）</w:t>
            </w:r>
            <w:r>
              <w:rPr>
                <w:rFonts w:hint="eastAsia" w:ascii="黑体" w:hAnsi="黑体" w:eastAsia="黑体" w:cs="黑体"/>
                <w:spacing w:val="-2"/>
                <w:sz w:val="21"/>
              </w:rPr>
              <w:t>。</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1" w:hRule="atLeast"/>
        </w:trPr>
        <w:tc>
          <w:tcPr>
            <w:tcW w:w="824" w:type="dxa"/>
            <w:vMerge w:val="continue"/>
            <w:tcBorders>
              <w:top w:val="nil"/>
            </w:tcBorders>
          </w:tcPr>
          <w:p>
            <w:pPr>
              <w:rPr>
                <w:rFonts w:hint="eastAsia" w:ascii="黑体" w:hAnsi="黑体" w:eastAsia="黑体" w:cs="黑体"/>
                <w:sz w:val="2"/>
                <w:szCs w:val="2"/>
              </w:rPr>
            </w:pPr>
          </w:p>
        </w:tc>
        <w:tc>
          <w:tcPr>
            <w:tcW w:w="1426" w:type="dxa"/>
            <w:vMerge w:val="continue"/>
            <w:tcBorders>
              <w:top w:val="nil"/>
            </w:tcBorders>
          </w:tcPr>
          <w:p>
            <w:pPr>
              <w:rPr>
                <w:rFonts w:hint="eastAsia" w:ascii="黑体" w:hAnsi="黑体" w:eastAsia="黑体" w:cs="黑体"/>
                <w:sz w:val="2"/>
                <w:szCs w:val="2"/>
              </w:rPr>
            </w:pPr>
          </w:p>
        </w:tc>
        <w:tc>
          <w:tcPr>
            <w:tcW w:w="1627" w:type="dxa"/>
            <w:vMerge w:val="continue"/>
            <w:tcBorders>
              <w:top w:val="nil"/>
            </w:tcBorders>
          </w:tcPr>
          <w:p>
            <w:pPr>
              <w:rPr>
                <w:rFonts w:hint="eastAsia" w:ascii="黑体" w:hAnsi="黑体" w:eastAsia="黑体" w:cs="黑体"/>
                <w:sz w:val="2"/>
                <w:szCs w:val="2"/>
              </w:rPr>
            </w:pPr>
          </w:p>
        </w:tc>
        <w:tc>
          <w:tcPr>
            <w:tcW w:w="7703" w:type="dxa"/>
          </w:tcPr>
          <w:p>
            <w:pPr>
              <w:pStyle w:val="5"/>
              <w:spacing w:before="19" w:line="211" w:lineRule="auto"/>
              <w:ind w:left="107" w:right="169"/>
              <w:rPr>
                <w:rFonts w:hint="eastAsia" w:ascii="黑体" w:hAnsi="黑体" w:eastAsia="黑体" w:cs="黑体"/>
                <w:sz w:val="21"/>
              </w:rPr>
            </w:pPr>
            <w:r>
              <w:rPr>
                <w:rFonts w:hint="eastAsia" w:ascii="黑体" w:hAnsi="黑体" w:eastAsia="黑体" w:cs="黑体"/>
                <w:spacing w:val="-6"/>
                <w:sz w:val="21"/>
              </w:rPr>
              <w:t>新建、改建、扩建工程建设项目严格执行相关建设程序，依法合规建设，安全设施</w:t>
            </w:r>
            <w:r>
              <w:rPr>
                <w:rFonts w:hint="eastAsia" w:ascii="黑体" w:hAnsi="黑体" w:eastAsia="黑体" w:cs="黑体"/>
                <w:spacing w:val="-2"/>
                <w:sz w:val="21"/>
              </w:rPr>
              <w:t>和职业病防护设施必须与主体工程同时设计、同时施工、同时投入生产和使用。</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7" w:hRule="atLeast"/>
        </w:trPr>
        <w:tc>
          <w:tcPr>
            <w:tcW w:w="824" w:type="dxa"/>
            <w:vMerge w:val="continue"/>
            <w:tcBorders>
              <w:top w:val="nil"/>
            </w:tcBorders>
          </w:tcPr>
          <w:p>
            <w:pPr>
              <w:rPr>
                <w:rFonts w:hint="eastAsia" w:ascii="黑体" w:hAnsi="黑体" w:eastAsia="黑体" w:cs="黑体"/>
                <w:sz w:val="2"/>
                <w:szCs w:val="2"/>
              </w:rPr>
            </w:pPr>
          </w:p>
        </w:tc>
        <w:tc>
          <w:tcPr>
            <w:tcW w:w="1426" w:type="dxa"/>
            <w:vMerge w:val="continue"/>
            <w:tcBorders>
              <w:top w:val="nil"/>
            </w:tcBorders>
          </w:tcPr>
          <w:p>
            <w:pPr>
              <w:rPr>
                <w:rFonts w:hint="eastAsia" w:ascii="黑体" w:hAnsi="黑体" w:eastAsia="黑体" w:cs="黑体"/>
                <w:sz w:val="2"/>
                <w:szCs w:val="2"/>
              </w:rPr>
            </w:pPr>
          </w:p>
        </w:tc>
        <w:tc>
          <w:tcPr>
            <w:tcW w:w="1627" w:type="dxa"/>
          </w:tcPr>
          <w:p>
            <w:pPr>
              <w:pStyle w:val="5"/>
              <w:spacing w:line="295" w:lineRule="exact"/>
              <w:ind w:left="186" w:right="172"/>
              <w:jc w:val="center"/>
              <w:rPr>
                <w:rFonts w:hint="eastAsia" w:ascii="黑体" w:hAnsi="黑体" w:eastAsia="黑体" w:cs="黑体"/>
                <w:sz w:val="21"/>
              </w:rPr>
            </w:pPr>
            <w:r>
              <w:rPr>
                <w:rFonts w:hint="eastAsia" w:ascii="黑体" w:hAnsi="黑体" w:eastAsia="黑体" w:cs="黑体"/>
                <w:spacing w:val="-7"/>
                <w:sz w:val="21"/>
              </w:rPr>
              <w:t>标准化建设</w:t>
            </w:r>
          </w:p>
        </w:tc>
        <w:tc>
          <w:tcPr>
            <w:tcW w:w="7703" w:type="dxa"/>
          </w:tcPr>
          <w:p>
            <w:pPr>
              <w:pStyle w:val="5"/>
              <w:spacing w:line="295" w:lineRule="exact"/>
              <w:ind w:left="107"/>
              <w:rPr>
                <w:rFonts w:hint="eastAsia" w:ascii="黑体" w:hAnsi="黑体" w:eastAsia="黑体" w:cs="黑体"/>
                <w:sz w:val="21"/>
              </w:rPr>
            </w:pPr>
            <w:r>
              <w:rPr>
                <w:rFonts w:hint="eastAsia" w:ascii="黑体" w:hAnsi="黑体" w:eastAsia="黑体" w:cs="黑体"/>
                <w:spacing w:val="-7"/>
                <w:sz w:val="21"/>
              </w:rPr>
              <w:t>推进安全生产标准化建设。</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1" w:hRule="atLeast"/>
        </w:trPr>
        <w:tc>
          <w:tcPr>
            <w:tcW w:w="824" w:type="dxa"/>
            <w:vMerge w:val="restart"/>
          </w:tcPr>
          <w:p>
            <w:pPr>
              <w:pStyle w:val="5"/>
              <w:spacing w:before="4"/>
              <w:rPr>
                <w:rFonts w:hint="eastAsia" w:ascii="黑体" w:hAnsi="黑体" w:eastAsia="黑体" w:cs="黑体"/>
                <w:sz w:val="17"/>
              </w:rPr>
            </w:pPr>
          </w:p>
          <w:p>
            <w:pPr>
              <w:pStyle w:val="5"/>
              <w:spacing w:before="1"/>
              <w:ind w:left="7"/>
              <w:jc w:val="center"/>
              <w:rPr>
                <w:rFonts w:hint="eastAsia" w:ascii="黑体" w:hAnsi="黑体" w:eastAsia="黑体" w:cs="黑体"/>
                <w:sz w:val="21"/>
              </w:rPr>
            </w:pPr>
            <w:r>
              <w:rPr>
                <w:rFonts w:hint="eastAsia" w:ascii="黑体" w:hAnsi="黑体" w:eastAsia="黑体" w:cs="黑体"/>
                <w:w w:val="99"/>
                <w:sz w:val="21"/>
              </w:rPr>
              <w:t>2</w:t>
            </w:r>
          </w:p>
        </w:tc>
        <w:tc>
          <w:tcPr>
            <w:tcW w:w="1426" w:type="dxa"/>
            <w:vMerge w:val="restart"/>
          </w:tcPr>
          <w:p>
            <w:pPr>
              <w:pStyle w:val="5"/>
              <w:spacing w:before="7"/>
              <w:rPr>
                <w:rFonts w:hint="eastAsia" w:ascii="黑体" w:hAnsi="黑体" w:eastAsia="黑体" w:cs="黑体"/>
                <w:sz w:val="9"/>
              </w:rPr>
            </w:pPr>
          </w:p>
          <w:p>
            <w:pPr>
              <w:pStyle w:val="5"/>
              <w:spacing w:line="211" w:lineRule="auto"/>
              <w:ind w:left="506" w:right="184" w:hanging="310"/>
              <w:rPr>
                <w:rFonts w:hint="eastAsia" w:ascii="黑体" w:hAnsi="黑体" w:eastAsia="黑体" w:cs="黑体"/>
                <w:sz w:val="21"/>
              </w:rPr>
            </w:pPr>
            <w:r>
              <w:rPr>
                <w:rFonts w:hint="eastAsia" w:ascii="黑体" w:hAnsi="黑体" w:eastAsia="黑体" w:cs="黑体"/>
                <w:spacing w:val="-6"/>
                <w:sz w:val="21"/>
              </w:rPr>
              <w:t>安全生产责任制</w:t>
            </w:r>
          </w:p>
        </w:tc>
        <w:tc>
          <w:tcPr>
            <w:tcW w:w="1627" w:type="dxa"/>
          </w:tcPr>
          <w:p>
            <w:pPr>
              <w:pStyle w:val="5"/>
              <w:spacing w:before="15" w:line="213" w:lineRule="auto"/>
              <w:ind w:left="710" w:right="179" w:hanging="514"/>
              <w:rPr>
                <w:rFonts w:hint="eastAsia" w:ascii="黑体" w:hAnsi="黑体" w:eastAsia="黑体" w:cs="黑体"/>
                <w:sz w:val="21"/>
              </w:rPr>
            </w:pPr>
            <w:r>
              <w:rPr>
                <w:rFonts w:hint="eastAsia" w:ascii="黑体" w:hAnsi="黑体" w:eastAsia="黑体" w:cs="黑体"/>
                <w:spacing w:val="-6"/>
                <w:sz w:val="21"/>
              </w:rPr>
              <w:t>建立健全责任</w:t>
            </w:r>
            <w:r>
              <w:rPr>
                <w:rFonts w:hint="eastAsia" w:ascii="黑体" w:hAnsi="黑体" w:eastAsia="黑体" w:cs="黑体"/>
                <w:spacing w:val="-10"/>
                <w:sz w:val="21"/>
              </w:rPr>
              <w:t>制</w:t>
            </w:r>
          </w:p>
        </w:tc>
        <w:tc>
          <w:tcPr>
            <w:tcW w:w="7703" w:type="dxa"/>
          </w:tcPr>
          <w:p>
            <w:pPr>
              <w:pStyle w:val="5"/>
              <w:spacing w:before="15" w:line="213" w:lineRule="auto"/>
              <w:ind w:left="107" w:right="169"/>
              <w:rPr>
                <w:rFonts w:hint="eastAsia" w:ascii="黑体" w:hAnsi="黑体" w:eastAsia="黑体" w:cs="黑体"/>
                <w:sz w:val="21"/>
              </w:rPr>
            </w:pPr>
            <w:r>
              <w:rPr>
                <w:rFonts w:hint="eastAsia" w:ascii="黑体" w:hAnsi="黑体" w:eastAsia="黑体" w:cs="黑体"/>
                <w:spacing w:val="-6"/>
                <w:sz w:val="21"/>
              </w:rPr>
              <w:t>建立健全企业各层级、各部门、各类人员的全员安全生产责任制，层层签订安全生</w:t>
            </w:r>
            <w:r>
              <w:rPr>
                <w:rFonts w:hint="eastAsia" w:ascii="黑体" w:hAnsi="黑体" w:eastAsia="黑体" w:cs="黑体"/>
                <w:spacing w:val="-2"/>
                <w:sz w:val="21"/>
              </w:rPr>
              <w:t>产责任书，明确各岗位责任人员、责任范围、责任内容和考核标准等事项。</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7" w:hRule="atLeast"/>
        </w:trPr>
        <w:tc>
          <w:tcPr>
            <w:tcW w:w="824" w:type="dxa"/>
            <w:vMerge w:val="continue"/>
            <w:tcBorders>
              <w:top w:val="nil"/>
            </w:tcBorders>
          </w:tcPr>
          <w:p>
            <w:pPr>
              <w:rPr>
                <w:rFonts w:hint="eastAsia" w:ascii="黑体" w:hAnsi="黑体" w:eastAsia="黑体" w:cs="黑体"/>
                <w:sz w:val="2"/>
                <w:szCs w:val="2"/>
              </w:rPr>
            </w:pPr>
          </w:p>
        </w:tc>
        <w:tc>
          <w:tcPr>
            <w:tcW w:w="1426" w:type="dxa"/>
            <w:vMerge w:val="continue"/>
            <w:tcBorders>
              <w:top w:val="nil"/>
            </w:tcBorders>
          </w:tcPr>
          <w:p>
            <w:pPr>
              <w:rPr>
                <w:rFonts w:hint="eastAsia" w:ascii="黑体" w:hAnsi="黑体" w:eastAsia="黑体" w:cs="黑体"/>
                <w:sz w:val="2"/>
                <w:szCs w:val="2"/>
              </w:rPr>
            </w:pPr>
          </w:p>
        </w:tc>
        <w:tc>
          <w:tcPr>
            <w:tcW w:w="1627" w:type="dxa"/>
          </w:tcPr>
          <w:p>
            <w:pPr>
              <w:pStyle w:val="5"/>
              <w:spacing w:line="296" w:lineRule="exact"/>
              <w:ind w:left="181" w:right="172"/>
              <w:jc w:val="center"/>
              <w:rPr>
                <w:rFonts w:hint="eastAsia" w:ascii="黑体" w:hAnsi="黑体" w:eastAsia="黑体" w:cs="黑体"/>
                <w:sz w:val="21"/>
              </w:rPr>
            </w:pPr>
            <w:r>
              <w:rPr>
                <w:rFonts w:hint="eastAsia" w:ascii="黑体" w:hAnsi="黑体" w:eastAsia="黑体" w:cs="黑体"/>
                <w:spacing w:val="-8"/>
                <w:sz w:val="21"/>
              </w:rPr>
              <w:t>监督考核</w:t>
            </w:r>
          </w:p>
        </w:tc>
        <w:tc>
          <w:tcPr>
            <w:tcW w:w="7703" w:type="dxa"/>
          </w:tcPr>
          <w:p>
            <w:pPr>
              <w:pStyle w:val="5"/>
              <w:spacing w:line="296" w:lineRule="exact"/>
              <w:ind w:left="107"/>
              <w:rPr>
                <w:rFonts w:hint="eastAsia" w:ascii="黑体" w:hAnsi="黑体" w:eastAsia="黑体" w:cs="黑体"/>
                <w:sz w:val="21"/>
              </w:rPr>
            </w:pPr>
            <w:r>
              <w:rPr>
                <w:rFonts w:hint="eastAsia" w:ascii="黑体" w:hAnsi="黑体" w:eastAsia="黑体" w:cs="黑体"/>
                <w:spacing w:val="-7"/>
                <w:sz w:val="21"/>
              </w:rPr>
              <w:t>定期对安全生产责任制落实情况的监督考核，保证安全生产责任制和目标的落实。</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1" w:hRule="atLeast"/>
        </w:trPr>
        <w:tc>
          <w:tcPr>
            <w:tcW w:w="824" w:type="dxa"/>
            <w:vMerge w:val="restart"/>
          </w:tcPr>
          <w:p>
            <w:pPr>
              <w:pStyle w:val="5"/>
              <w:spacing w:before="6"/>
              <w:rPr>
                <w:rFonts w:hint="eastAsia" w:ascii="黑体" w:hAnsi="黑体" w:eastAsia="黑体" w:cs="黑体"/>
                <w:sz w:val="17"/>
              </w:rPr>
            </w:pPr>
          </w:p>
          <w:p>
            <w:pPr>
              <w:pStyle w:val="5"/>
              <w:ind w:left="7"/>
              <w:jc w:val="center"/>
              <w:rPr>
                <w:rFonts w:hint="eastAsia" w:ascii="黑体" w:hAnsi="黑体" w:eastAsia="黑体" w:cs="黑体"/>
                <w:sz w:val="21"/>
              </w:rPr>
            </w:pPr>
            <w:r>
              <w:rPr>
                <w:rFonts w:hint="eastAsia" w:ascii="黑体" w:hAnsi="黑体" w:eastAsia="黑体" w:cs="黑体"/>
                <w:w w:val="99"/>
                <w:sz w:val="21"/>
              </w:rPr>
              <w:t>3</w:t>
            </w:r>
          </w:p>
        </w:tc>
        <w:tc>
          <w:tcPr>
            <w:tcW w:w="1426" w:type="dxa"/>
            <w:vMerge w:val="restart"/>
          </w:tcPr>
          <w:p>
            <w:pPr>
              <w:pStyle w:val="5"/>
              <w:spacing w:before="3"/>
              <w:rPr>
                <w:rFonts w:hint="eastAsia" w:ascii="黑体" w:hAnsi="黑体" w:eastAsia="黑体" w:cs="黑体"/>
                <w:sz w:val="9"/>
              </w:rPr>
            </w:pPr>
          </w:p>
          <w:p>
            <w:pPr>
              <w:pStyle w:val="5"/>
              <w:spacing w:line="213" w:lineRule="auto"/>
              <w:ind w:left="403" w:right="184" w:hanging="207"/>
              <w:rPr>
                <w:rFonts w:hint="eastAsia" w:ascii="黑体" w:hAnsi="黑体" w:eastAsia="黑体" w:cs="黑体"/>
                <w:sz w:val="21"/>
              </w:rPr>
            </w:pPr>
            <w:r>
              <w:rPr>
                <w:rFonts w:hint="eastAsia" w:ascii="黑体" w:hAnsi="黑体" w:eastAsia="黑体" w:cs="黑体"/>
                <w:spacing w:val="-6"/>
                <w:sz w:val="21"/>
              </w:rPr>
              <w:t>安全生产管</w:t>
            </w:r>
            <w:r>
              <w:rPr>
                <w:rFonts w:hint="eastAsia" w:ascii="黑体" w:hAnsi="黑体" w:eastAsia="黑体" w:cs="黑体"/>
                <w:spacing w:val="-4"/>
                <w:sz w:val="21"/>
              </w:rPr>
              <w:t>理机构</w:t>
            </w:r>
          </w:p>
        </w:tc>
        <w:tc>
          <w:tcPr>
            <w:tcW w:w="1627" w:type="dxa"/>
          </w:tcPr>
          <w:p>
            <w:pPr>
              <w:pStyle w:val="5"/>
              <w:spacing w:before="123"/>
              <w:ind w:left="184" w:right="172"/>
              <w:jc w:val="center"/>
              <w:rPr>
                <w:rFonts w:hint="eastAsia" w:ascii="黑体" w:hAnsi="黑体" w:eastAsia="黑体" w:cs="黑体"/>
                <w:sz w:val="21"/>
              </w:rPr>
            </w:pPr>
            <w:r>
              <w:rPr>
                <w:rFonts w:hint="eastAsia" w:ascii="黑体" w:hAnsi="黑体" w:eastAsia="黑体" w:cs="黑体"/>
                <w:spacing w:val="-8"/>
                <w:sz w:val="21"/>
              </w:rPr>
              <w:t>安委会</w:t>
            </w:r>
          </w:p>
        </w:tc>
        <w:tc>
          <w:tcPr>
            <w:tcW w:w="7703" w:type="dxa"/>
          </w:tcPr>
          <w:p>
            <w:pPr>
              <w:pStyle w:val="5"/>
              <w:spacing w:before="19" w:line="211" w:lineRule="auto"/>
              <w:ind w:left="107" w:right="169"/>
              <w:rPr>
                <w:rFonts w:hint="eastAsia" w:ascii="黑体" w:hAnsi="黑体" w:eastAsia="黑体" w:cs="黑体"/>
                <w:sz w:val="21"/>
              </w:rPr>
            </w:pPr>
            <w:r>
              <w:rPr>
                <w:rFonts w:hint="eastAsia" w:ascii="黑体" w:hAnsi="黑体" w:eastAsia="黑体" w:cs="黑体"/>
                <w:spacing w:val="-6"/>
                <w:sz w:val="21"/>
              </w:rPr>
              <w:t>设立安全管理委员会；定期召开安委会，研究、部署安全工作，协调解决安全生产</w:t>
            </w:r>
            <w:r>
              <w:rPr>
                <w:rFonts w:hint="eastAsia" w:ascii="黑体" w:hAnsi="黑体" w:eastAsia="黑体" w:cs="黑体"/>
                <w:spacing w:val="-2"/>
                <w:sz w:val="21"/>
              </w:rPr>
              <w:t>重点、难点问题。</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6" w:hRule="atLeast"/>
        </w:trPr>
        <w:tc>
          <w:tcPr>
            <w:tcW w:w="824" w:type="dxa"/>
            <w:vMerge w:val="continue"/>
            <w:tcBorders>
              <w:top w:val="nil"/>
            </w:tcBorders>
          </w:tcPr>
          <w:p>
            <w:pPr>
              <w:rPr>
                <w:rFonts w:hint="eastAsia" w:ascii="黑体" w:hAnsi="黑体" w:eastAsia="黑体" w:cs="黑体"/>
                <w:sz w:val="2"/>
                <w:szCs w:val="2"/>
              </w:rPr>
            </w:pPr>
          </w:p>
        </w:tc>
        <w:tc>
          <w:tcPr>
            <w:tcW w:w="1426" w:type="dxa"/>
            <w:vMerge w:val="continue"/>
            <w:tcBorders>
              <w:top w:val="nil"/>
            </w:tcBorders>
          </w:tcPr>
          <w:p>
            <w:pPr>
              <w:rPr>
                <w:rFonts w:hint="eastAsia" w:ascii="黑体" w:hAnsi="黑体" w:eastAsia="黑体" w:cs="黑体"/>
                <w:sz w:val="2"/>
                <w:szCs w:val="2"/>
              </w:rPr>
            </w:pPr>
          </w:p>
        </w:tc>
        <w:tc>
          <w:tcPr>
            <w:tcW w:w="1627" w:type="dxa"/>
          </w:tcPr>
          <w:p>
            <w:pPr>
              <w:pStyle w:val="5"/>
              <w:spacing w:line="295" w:lineRule="exact"/>
              <w:ind w:left="181" w:right="172"/>
              <w:jc w:val="center"/>
              <w:rPr>
                <w:rFonts w:hint="eastAsia" w:ascii="黑体" w:hAnsi="黑体" w:eastAsia="黑体" w:cs="黑体"/>
                <w:sz w:val="21"/>
              </w:rPr>
            </w:pPr>
            <w:r>
              <w:rPr>
                <w:rFonts w:hint="eastAsia" w:ascii="黑体" w:hAnsi="黑体" w:eastAsia="黑体" w:cs="黑体"/>
                <w:spacing w:val="-8"/>
                <w:sz w:val="21"/>
              </w:rPr>
              <w:t>机构设置</w:t>
            </w:r>
          </w:p>
        </w:tc>
        <w:tc>
          <w:tcPr>
            <w:tcW w:w="7703" w:type="dxa"/>
          </w:tcPr>
          <w:p>
            <w:pPr>
              <w:pStyle w:val="5"/>
              <w:spacing w:line="295" w:lineRule="exact"/>
              <w:ind w:left="107"/>
              <w:rPr>
                <w:rFonts w:hint="eastAsia" w:ascii="黑体" w:hAnsi="黑体" w:eastAsia="黑体" w:cs="黑体"/>
                <w:sz w:val="21"/>
              </w:rPr>
            </w:pPr>
            <w:r>
              <w:rPr>
                <w:rFonts w:hint="eastAsia" w:ascii="黑体" w:hAnsi="黑体" w:eastAsia="黑体" w:cs="黑体"/>
                <w:spacing w:val="-6"/>
                <w:sz w:val="21"/>
              </w:rPr>
              <w:t>设置安全管理机构和配备专（兼）</w:t>
            </w:r>
            <w:r>
              <w:rPr>
                <w:rFonts w:hint="eastAsia" w:ascii="黑体" w:hAnsi="黑体" w:eastAsia="黑体" w:cs="黑体"/>
                <w:spacing w:val="-7"/>
                <w:sz w:val="21"/>
              </w:rPr>
              <w:t>职安全管理人员。</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bl>
    <w:p>
      <w:pPr>
        <w:spacing w:after="0"/>
        <w:rPr>
          <w:rFonts w:hint="eastAsia" w:ascii="黑体" w:hAnsi="黑体" w:eastAsia="黑体" w:cs="黑体"/>
          <w:sz w:val="20"/>
        </w:rPr>
        <w:sectPr>
          <w:pgSz w:w="16840" w:h="11910" w:orient="landscape"/>
          <w:pgMar w:top="1340" w:right="920" w:bottom="1840" w:left="920" w:header="0" w:footer="1654" w:gutter="0"/>
          <w:cols w:space="720" w:num="1"/>
        </w:sectPr>
      </w:pPr>
    </w:p>
    <w:p>
      <w:pPr>
        <w:pStyle w:val="2"/>
        <w:rPr>
          <w:rFonts w:hint="eastAsia" w:ascii="黑体" w:hAnsi="黑体" w:eastAsia="黑体" w:cs="黑体"/>
          <w:sz w:val="12"/>
        </w:rPr>
      </w:pPr>
    </w:p>
    <w:tbl>
      <w:tblPr>
        <w:tblStyle w:val="3"/>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1426"/>
        <w:gridCol w:w="1627"/>
        <w:gridCol w:w="7703"/>
        <w:gridCol w:w="1842"/>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6" w:hRule="atLeast"/>
        </w:trPr>
        <w:tc>
          <w:tcPr>
            <w:tcW w:w="824" w:type="dxa"/>
            <w:vMerge w:val="restart"/>
          </w:tcPr>
          <w:p>
            <w:pPr>
              <w:pStyle w:val="5"/>
              <w:spacing w:before="10"/>
              <w:rPr>
                <w:rFonts w:hint="eastAsia" w:ascii="黑体" w:hAnsi="黑体" w:eastAsia="黑体" w:cs="黑体"/>
                <w:sz w:val="22"/>
              </w:rPr>
            </w:pPr>
          </w:p>
          <w:p>
            <w:pPr>
              <w:pStyle w:val="5"/>
              <w:spacing w:before="1"/>
              <w:ind w:left="204"/>
              <w:rPr>
                <w:rFonts w:hint="eastAsia" w:ascii="黑体" w:hAnsi="黑体" w:eastAsia="黑体" w:cs="黑体"/>
                <w:sz w:val="21"/>
              </w:rPr>
            </w:pPr>
            <w:r>
              <w:rPr>
                <w:rFonts w:hint="eastAsia" w:ascii="黑体" w:hAnsi="黑体" w:eastAsia="黑体" w:cs="黑体"/>
                <w:spacing w:val="-9"/>
                <w:sz w:val="21"/>
              </w:rPr>
              <w:t>序号</w:t>
            </w:r>
          </w:p>
        </w:tc>
        <w:tc>
          <w:tcPr>
            <w:tcW w:w="3053" w:type="dxa"/>
            <w:gridSpan w:val="2"/>
          </w:tcPr>
          <w:p>
            <w:pPr>
              <w:pStyle w:val="5"/>
              <w:spacing w:line="336" w:lineRule="exact"/>
              <w:ind w:left="1102" w:right="1092"/>
              <w:jc w:val="center"/>
              <w:rPr>
                <w:rFonts w:hint="eastAsia" w:ascii="黑体" w:hAnsi="黑体" w:eastAsia="黑体" w:cs="黑体"/>
                <w:sz w:val="21"/>
              </w:rPr>
            </w:pPr>
            <w:r>
              <w:rPr>
                <w:rFonts w:hint="eastAsia" w:ascii="黑体" w:hAnsi="黑体" w:eastAsia="黑体" w:cs="黑体"/>
                <w:spacing w:val="-8"/>
                <w:sz w:val="21"/>
              </w:rPr>
              <w:t>检查项目</w:t>
            </w:r>
          </w:p>
        </w:tc>
        <w:tc>
          <w:tcPr>
            <w:tcW w:w="7703" w:type="dxa"/>
            <w:vMerge w:val="restart"/>
          </w:tcPr>
          <w:p>
            <w:pPr>
              <w:pStyle w:val="5"/>
              <w:spacing w:before="10"/>
              <w:rPr>
                <w:rFonts w:hint="eastAsia" w:ascii="黑体" w:hAnsi="黑体" w:eastAsia="黑体" w:cs="黑体"/>
                <w:sz w:val="22"/>
              </w:rPr>
            </w:pPr>
          </w:p>
          <w:p>
            <w:pPr>
              <w:pStyle w:val="5"/>
              <w:spacing w:before="1"/>
              <w:ind w:left="3428" w:right="3417"/>
              <w:jc w:val="center"/>
              <w:rPr>
                <w:rFonts w:hint="eastAsia" w:ascii="黑体" w:hAnsi="黑体" w:eastAsia="黑体" w:cs="黑体"/>
                <w:sz w:val="21"/>
              </w:rPr>
            </w:pPr>
            <w:r>
              <w:rPr>
                <w:rFonts w:hint="eastAsia" w:ascii="黑体" w:hAnsi="黑体" w:eastAsia="黑体" w:cs="黑体"/>
                <w:spacing w:val="-8"/>
                <w:sz w:val="21"/>
              </w:rPr>
              <w:t>检查清单</w:t>
            </w:r>
          </w:p>
        </w:tc>
        <w:tc>
          <w:tcPr>
            <w:tcW w:w="1842" w:type="dxa"/>
            <w:vMerge w:val="restart"/>
          </w:tcPr>
          <w:p>
            <w:pPr>
              <w:pStyle w:val="5"/>
              <w:spacing w:line="305" w:lineRule="exact"/>
              <w:ind w:left="194" w:right="184"/>
              <w:jc w:val="center"/>
              <w:rPr>
                <w:rFonts w:hint="eastAsia" w:ascii="黑体" w:hAnsi="黑体" w:eastAsia="黑体" w:cs="黑体"/>
                <w:sz w:val="21"/>
              </w:rPr>
            </w:pPr>
            <w:r>
              <w:rPr>
                <w:rFonts w:hint="eastAsia" w:ascii="黑体" w:hAnsi="黑体" w:eastAsia="黑体" w:cs="黑体"/>
                <w:spacing w:val="-8"/>
                <w:sz w:val="21"/>
              </w:rPr>
              <w:t>责任人</w:t>
            </w:r>
          </w:p>
          <w:p>
            <w:pPr>
              <w:pStyle w:val="5"/>
              <w:spacing w:before="25" w:line="204" w:lineRule="auto"/>
              <w:ind w:left="200" w:right="184"/>
              <w:jc w:val="center"/>
              <w:rPr>
                <w:rFonts w:hint="eastAsia" w:ascii="黑体" w:hAnsi="黑体" w:eastAsia="黑体" w:cs="黑体"/>
                <w:sz w:val="21"/>
              </w:rPr>
            </w:pPr>
            <w:r>
              <w:rPr>
                <w:rFonts w:hint="eastAsia" w:ascii="黑体" w:hAnsi="黑体" w:eastAsia="黑体" w:cs="黑体"/>
                <w:spacing w:val="-6"/>
                <w:sz w:val="21"/>
              </w:rPr>
              <w:t>（明确到各岗位一线操作者具体</w:t>
            </w:r>
            <w:r>
              <w:rPr>
                <w:rFonts w:hint="eastAsia" w:ascii="黑体" w:hAnsi="黑体" w:eastAsia="黑体" w:cs="黑体"/>
                <w:spacing w:val="-4"/>
                <w:sz w:val="21"/>
              </w:rPr>
              <w:t>责任人）</w:t>
            </w:r>
          </w:p>
        </w:tc>
        <w:tc>
          <w:tcPr>
            <w:tcW w:w="1340" w:type="dxa"/>
            <w:vMerge w:val="restart"/>
          </w:tcPr>
          <w:p>
            <w:pPr>
              <w:pStyle w:val="5"/>
              <w:spacing w:before="164" w:line="289" w:lineRule="exact"/>
              <w:ind w:left="449" w:right="438"/>
              <w:jc w:val="center"/>
              <w:rPr>
                <w:rFonts w:hint="eastAsia" w:ascii="黑体" w:hAnsi="黑体" w:eastAsia="黑体" w:cs="黑体"/>
                <w:sz w:val="21"/>
              </w:rPr>
            </w:pPr>
            <w:r>
              <w:rPr>
                <w:rFonts w:hint="eastAsia" w:ascii="黑体" w:hAnsi="黑体" w:eastAsia="黑体" w:cs="黑体"/>
                <w:spacing w:val="-9"/>
                <w:sz w:val="21"/>
              </w:rPr>
              <w:t>备注</w:t>
            </w:r>
          </w:p>
          <w:p>
            <w:pPr>
              <w:pStyle w:val="5"/>
              <w:spacing w:before="9" w:line="213" w:lineRule="auto"/>
              <w:ind w:left="155" w:right="140"/>
              <w:jc w:val="both"/>
              <w:rPr>
                <w:rFonts w:hint="eastAsia" w:ascii="黑体" w:hAnsi="黑体" w:eastAsia="黑体" w:cs="黑体"/>
                <w:sz w:val="21"/>
              </w:rPr>
            </w:pPr>
            <w:r>
              <w:rPr>
                <w:rFonts w:hint="eastAsia" w:ascii="黑体" w:hAnsi="黑体" w:eastAsia="黑体" w:cs="黑体"/>
                <w:spacing w:val="-6"/>
                <w:sz w:val="21"/>
              </w:rPr>
              <w:t>（明确检查周期、抽查</w:t>
            </w:r>
            <w:r>
              <w:rPr>
                <w:rFonts w:hint="eastAsia" w:ascii="黑体" w:hAnsi="黑体" w:eastAsia="黑体" w:cs="黑体"/>
                <w:spacing w:val="-4"/>
                <w:sz w:val="21"/>
              </w:rPr>
              <w:t>比例等）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1" w:hRule="atLeast"/>
        </w:trPr>
        <w:tc>
          <w:tcPr>
            <w:tcW w:w="824" w:type="dxa"/>
            <w:vMerge w:val="continue"/>
            <w:tcBorders>
              <w:top w:val="nil"/>
            </w:tcBorders>
          </w:tcPr>
          <w:p>
            <w:pPr>
              <w:rPr>
                <w:rFonts w:hint="eastAsia" w:ascii="黑体" w:hAnsi="黑体" w:eastAsia="黑体" w:cs="黑体"/>
                <w:sz w:val="2"/>
                <w:szCs w:val="2"/>
              </w:rPr>
            </w:pPr>
          </w:p>
        </w:tc>
        <w:tc>
          <w:tcPr>
            <w:tcW w:w="1426" w:type="dxa"/>
          </w:tcPr>
          <w:p>
            <w:pPr>
              <w:pStyle w:val="5"/>
              <w:spacing w:before="239"/>
              <w:ind w:left="300"/>
              <w:rPr>
                <w:rFonts w:hint="eastAsia" w:ascii="黑体" w:hAnsi="黑体" w:eastAsia="黑体" w:cs="黑体"/>
                <w:sz w:val="21"/>
              </w:rPr>
            </w:pPr>
            <w:r>
              <w:rPr>
                <w:rFonts w:hint="eastAsia" w:ascii="黑体" w:hAnsi="黑体" w:eastAsia="黑体" w:cs="黑体"/>
                <w:spacing w:val="-8"/>
                <w:sz w:val="21"/>
              </w:rPr>
              <w:t>一级要素</w:t>
            </w:r>
          </w:p>
        </w:tc>
        <w:tc>
          <w:tcPr>
            <w:tcW w:w="1627" w:type="dxa"/>
          </w:tcPr>
          <w:p>
            <w:pPr>
              <w:pStyle w:val="5"/>
              <w:spacing w:before="239"/>
              <w:ind w:left="181" w:right="172"/>
              <w:jc w:val="center"/>
              <w:rPr>
                <w:rFonts w:hint="eastAsia" w:ascii="黑体" w:hAnsi="黑体" w:eastAsia="黑体" w:cs="黑体"/>
                <w:sz w:val="21"/>
              </w:rPr>
            </w:pPr>
            <w:r>
              <w:rPr>
                <w:rFonts w:hint="eastAsia" w:ascii="黑体" w:hAnsi="黑体" w:eastAsia="黑体" w:cs="黑体"/>
                <w:spacing w:val="-8"/>
                <w:sz w:val="21"/>
              </w:rPr>
              <w:t>二级要素</w:t>
            </w:r>
          </w:p>
        </w:tc>
        <w:tc>
          <w:tcPr>
            <w:tcW w:w="7703" w:type="dxa"/>
            <w:vMerge w:val="continue"/>
            <w:tcBorders>
              <w:top w:val="nil"/>
            </w:tcBorders>
          </w:tcPr>
          <w:p>
            <w:pPr>
              <w:rPr>
                <w:rFonts w:hint="eastAsia" w:ascii="黑体" w:hAnsi="黑体" w:eastAsia="黑体" w:cs="黑体"/>
                <w:sz w:val="2"/>
                <w:szCs w:val="2"/>
              </w:rPr>
            </w:pPr>
          </w:p>
        </w:tc>
        <w:tc>
          <w:tcPr>
            <w:tcW w:w="1842" w:type="dxa"/>
            <w:vMerge w:val="continue"/>
            <w:tcBorders>
              <w:top w:val="nil"/>
            </w:tcBorders>
          </w:tcPr>
          <w:p>
            <w:pPr>
              <w:rPr>
                <w:rFonts w:hint="eastAsia" w:ascii="黑体" w:hAnsi="黑体" w:eastAsia="黑体" w:cs="黑体"/>
                <w:sz w:val="2"/>
                <w:szCs w:val="2"/>
              </w:rPr>
            </w:pPr>
          </w:p>
        </w:tc>
        <w:tc>
          <w:tcPr>
            <w:tcW w:w="1340" w:type="dxa"/>
            <w:vMerge w:val="continue"/>
            <w:tcBorders>
              <w:top w:val="nil"/>
            </w:tcBorders>
          </w:tcPr>
          <w:p>
            <w:pPr>
              <w:rPr>
                <w:rFonts w:hint="eastAsia" w:ascii="黑体" w:hAnsi="黑体" w:eastAsia="黑体" w:cs="黑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35" w:hRule="atLeast"/>
        </w:trPr>
        <w:tc>
          <w:tcPr>
            <w:tcW w:w="824" w:type="dxa"/>
            <w:vMerge w:val="restart"/>
          </w:tcPr>
          <w:p>
            <w:pPr>
              <w:pStyle w:val="5"/>
              <w:rPr>
                <w:rFonts w:hint="eastAsia" w:ascii="黑体" w:hAnsi="黑体" w:eastAsia="黑体" w:cs="黑体"/>
                <w:sz w:val="22"/>
              </w:rPr>
            </w:pPr>
          </w:p>
          <w:p>
            <w:pPr>
              <w:pStyle w:val="5"/>
              <w:rPr>
                <w:rFonts w:hint="eastAsia" w:ascii="黑体" w:hAnsi="黑体" w:eastAsia="黑体" w:cs="黑体"/>
                <w:sz w:val="22"/>
              </w:rPr>
            </w:pPr>
          </w:p>
          <w:p>
            <w:pPr>
              <w:pStyle w:val="5"/>
              <w:rPr>
                <w:rFonts w:hint="eastAsia" w:ascii="黑体" w:hAnsi="黑体" w:eastAsia="黑体" w:cs="黑体"/>
                <w:sz w:val="22"/>
              </w:rPr>
            </w:pPr>
          </w:p>
          <w:p>
            <w:pPr>
              <w:pStyle w:val="5"/>
              <w:spacing w:before="11"/>
              <w:rPr>
                <w:rFonts w:hint="eastAsia" w:ascii="黑体" w:hAnsi="黑体" w:eastAsia="黑体" w:cs="黑体"/>
                <w:sz w:val="20"/>
              </w:rPr>
            </w:pPr>
          </w:p>
          <w:p>
            <w:pPr>
              <w:pStyle w:val="5"/>
              <w:ind w:left="7"/>
              <w:jc w:val="center"/>
              <w:rPr>
                <w:rFonts w:hint="eastAsia" w:ascii="黑体" w:hAnsi="黑体" w:eastAsia="黑体" w:cs="黑体"/>
                <w:sz w:val="21"/>
              </w:rPr>
            </w:pPr>
            <w:r>
              <w:rPr>
                <w:rFonts w:hint="eastAsia" w:ascii="黑体" w:hAnsi="黑体" w:eastAsia="黑体" w:cs="黑体"/>
                <w:w w:val="99"/>
                <w:sz w:val="21"/>
              </w:rPr>
              <w:t>4</w:t>
            </w:r>
          </w:p>
        </w:tc>
        <w:tc>
          <w:tcPr>
            <w:tcW w:w="1426" w:type="dxa"/>
            <w:vMerge w:val="restart"/>
          </w:tcPr>
          <w:p>
            <w:pPr>
              <w:pStyle w:val="5"/>
              <w:rPr>
                <w:rFonts w:hint="eastAsia" w:ascii="黑体" w:hAnsi="黑体" w:eastAsia="黑体" w:cs="黑体"/>
                <w:sz w:val="20"/>
              </w:rPr>
            </w:pPr>
          </w:p>
          <w:p>
            <w:pPr>
              <w:pStyle w:val="5"/>
              <w:rPr>
                <w:rFonts w:hint="eastAsia" w:ascii="黑体" w:hAnsi="黑体" w:eastAsia="黑体" w:cs="黑体"/>
                <w:sz w:val="20"/>
              </w:rPr>
            </w:pPr>
          </w:p>
          <w:p>
            <w:pPr>
              <w:pStyle w:val="5"/>
              <w:rPr>
                <w:rFonts w:hint="eastAsia" w:ascii="黑体" w:hAnsi="黑体" w:eastAsia="黑体" w:cs="黑体"/>
                <w:sz w:val="20"/>
              </w:rPr>
            </w:pPr>
          </w:p>
          <w:p>
            <w:pPr>
              <w:pStyle w:val="5"/>
              <w:spacing w:before="13"/>
              <w:rPr>
                <w:rFonts w:hint="eastAsia" w:ascii="黑体" w:hAnsi="黑体" w:eastAsia="黑体" w:cs="黑体"/>
                <w:sz w:val="11"/>
              </w:rPr>
            </w:pPr>
          </w:p>
          <w:p>
            <w:pPr>
              <w:pStyle w:val="5"/>
              <w:spacing w:line="213" w:lineRule="auto"/>
              <w:ind w:left="196" w:right="184"/>
              <w:jc w:val="center"/>
              <w:rPr>
                <w:rFonts w:hint="eastAsia" w:ascii="黑体" w:hAnsi="黑体" w:eastAsia="黑体" w:cs="黑体"/>
                <w:sz w:val="21"/>
              </w:rPr>
            </w:pPr>
            <w:r>
              <w:rPr>
                <w:rFonts w:hint="eastAsia" w:ascii="黑体" w:hAnsi="黑体" w:eastAsia="黑体" w:cs="黑体"/>
                <w:spacing w:val="-6"/>
                <w:sz w:val="21"/>
              </w:rPr>
              <w:t>安全生产规章制度和操</w:t>
            </w:r>
            <w:r>
              <w:rPr>
                <w:rFonts w:hint="eastAsia" w:ascii="黑体" w:hAnsi="黑体" w:eastAsia="黑体" w:cs="黑体"/>
                <w:spacing w:val="-4"/>
                <w:sz w:val="21"/>
              </w:rPr>
              <w:t>作规程</w:t>
            </w:r>
          </w:p>
        </w:tc>
        <w:tc>
          <w:tcPr>
            <w:tcW w:w="1627" w:type="dxa"/>
          </w:tcPr>
          <w:p>
            <w:pPr>
              <w:pStyle w:val="5"/>
              <w:rPr>
                <w:rFonts w:hint="eastAsia" w:ascii="黑体" w:hAnsi="黑体" w:eastAsia="黑体" w:cs="黑体"/>
                <w:sz w:val="20"/>
              </w:rPr>
            </w:pPr>
          </w:p>
          <w:p>
            <w:pPr>
              <w:pStyle w:val="5"/>
              <w:spacing w:before="13"/>
              <w:rPr>
                <w:rFonts w:hint="eastAsia" w:ascii="黑体" w:hAnsi="黑体" w:eastAsia="黑体" w:cs="黑体"/>
                <w:sz w:val="26"/>
              </w:rPr>
            </w:pPr>
          </w:p>
          <w:p>
            <w:pPr>
              <w:pStyle w:val="5"/>
              <w:ind w:left="181" w:right="172"/>
              <w:jc w:val="center"/>
              <w:rPr>
                <w:rFonts w:hint="eastAsia" w:ascii="黑体" w:hAnsi="黑体" w:eastAsia="黑体" w:cs="黑体"/>
                <w:sz w:val="21"/>
              </w:rPr>
            </w:pPr>
            <w:r>
              <w:rPr>
                <w:rFonts w:hint="eastAsia" w:ascii="黑体" w:hAnsi="黑体" w:eastAsia="黑体" w:cs="黑体"/>
                <w:spacing w:val="-8"/>
                <w:sz w:val="21"/>
              </w:rPr>
              <w:t>规章制度</w:t>
            </w:r>
          </w:p>
        </w:tc>
        <w:tc>
          <w:tcPr>
            <w:tcW w:w="7703" w:type="dxa"/>
          </w:tcPr>
          <w:p>
            <w:pPr>
              <w:pStyle w:val="5"/>
              <w:spacing w:before="14" w:line="213" w:lineRule="auto"/>
              <w:ind w:left="107" w:right="92"/>
              <w:rPr>
                <w:rFonts w:hint="eastAsia" w:ascii="黑体" w:hAnsi="黑体" w:eastAsia="黑体" w:cs="黑体"/>
                <w:sz w:val="21"/>
              </w:rPr>
            </w:pPr>
            <w:r>
              <w:rPr>
                <w:rFonts w:hint="eastAsia" w:ascii="黑体" w:hAnsi="黑体" w:eastAsia="黑体" w:cs="黑体"/>
                <w:spacing w:val="-4"/>
                <w:sz w:val="21"/>
              </w:rPr>
              <w:t>建立健全本单位安全生产规章制度，包含且不限于：安全生产责任制；安全生产目标及绩效管理；安全监督管理及安全检查；安全风险及隐患管理；安全教育培训；</w:t>
            </w:r>
            <w:r>
              <w:rPr>
                <w:rFonts w:hint="eastAsia" w:ascii="黑体" w:hAnsi="黑体" w:eastAsia="黑体" w:cs="黑体"/>
                <w:spacing w:val="-6"/>
                <w:sz w:val="21"/>
              </w:rPr>
              <w:t>特种作业人员管理；设备设施管理（包括安全设施、特种设备等</w:t>
            </w:r>
            <w:r>
              <w:rPr>
                <w:rFonts w:hint="eastAsia" w:ascii="黑体" w:hAnsi="黑体" w:eastAsia="黑体" w:cs="黑体"/>
                <w:spacing w:val="-58"/>
                <w:sz w:val="21"/>
              </w:rPr>
              <w:t>）</w:t>
            </w:r>
            <w:r>
              <w:rPr>
                <w:rFonts w:hint="eastAsia" w:ascii="黑体" w:hAnsi="黑体" w:eastAsia="黑体" w:cs="黑体"/>
                <w:spacing w:val="-14"/>
                <w:sz w:val="21"/>
              </w:rPr>
              <w:t>；建设项目安全设</w:t>
            </w:r>
            <w:r>
              <w:rPr>
                <w:rFonts w:hint="eastAsia" w:ascii="黑体" w:hAnsi="黑体" w:eastAsia="黑体" w:cs="黑体"/>
                <w:spacing w:val="-2"/>
                <w:sz w:val="21"/>
              </w:rPr>
              <w:t>施</w:t>
            </w:r>
            <w:r>
              <w:rPr>
                <w:rFonts w:hint="eastAsia" w:ascii="黑体" w:hAnsi="黑体" w:eastAsia="黑体" w:cs="黑体"/>
                <w:spacing w:val="-2"/>
                <w:sz w:val="21"/>
              </w:rPr>
              <w:t>“</w:t>
            </w:r>
            <w:r>
              <w:rPr>
                <w:rFonts w:hint="eastAsia" w:ascii="黑体" w:hAnsi="黑体" w:eastAsia="黑体" w:cs="黑体"/>
                <w:spacing w:val="-2"/>
                <w:sz w:val="21"/>
              </w:rPr>
              <w:t>三同时</w:t>
            </w:r>
            <w:r>
              <w:rPr>
                <w:rFonts w:hint="eastAsia" w:ascii="黑体" w:hAnsi="黑体" w:eastAsia="黑体" w:cs="黑体"/>
                <w:spacing w:val="-2"/>
                <w:sz w:val="21"/>
              </w:rPr>
              <w:t>”</w:t>
            </w:r>
            <w:r>
              <w:rPr>
                <w:rFonts w:hint="eastAsia" w:ascii="黑体" w:hAnsi="黑体" w:eastAsia="黑体" w:cs="黑体"/>
                <w:spacing w:val="-2"/>
                <w:sz w:val="21"/>
              </w:rPr>
              <w:t>管理；危险物品及危险源管理；抢险作业管理；高危作业管理（包括动</w:t>
            </w:r>
            <w:r>
              <w:rPr>
                <w:rFonts w:hint="eastAsia" w:ascii="黑体" w:hAnsi="黑体" w:eastAsia="黑体" w:cs="黑体"/>
                <w:spacing w:val="-6"/>
                <w:sz w:val="21"/>
              </w:rPr>
              <w:t>火作业、受限空间作业、临时用电作业、高处作业、起重吊装作业等</w:t>
            </w:r>
            <w:r>
              <w:rPr>
                <w:rFonts w:hint="eastAsia" w:ascii="黑体" w:hAnsi="黑体" w:eastAsia="黑体" w:cs="黑体"/>
                <w:spacing w:val="-58"/>
                <w:sz w:val="21"/>
              </w:rPr>
              <w:t>）</w:t>
            </w:r>
            <w:r>
              <w:rPr>
                <w:rFonts w:hint="eastAsia" w:ascii="黑体" w:hAnsi="黑体" w:eastAsia="黑体" w:cs="黑体"/>
                <w:spacing w:val="-16"/>
                <w:sz w:val="21"/>
              </w:rPr>
              <w:t>；应急值班管</w:t>
            </w:r>
            <w:r>
              <w:rPr>
                <w:rFonts w:hint="eastAsia" w:ascii="黑体" w:hAnsi="黑体" w:eastAsia="黑体" w:cs="黑体"/>
                <w:spacing w:val="-4"/>
                <w:sz w:val="21"/>
              </w:rPr>
              <w:t>理；燃气场站、管线、客户安全管理；工程建设安全管理；交通安全管理；相关方安全管理；职业健康管理；劳动防护用品管理；消防安全管理；治安保卫管理；应</w:t>
            </w:r>
            <w:r>
              <w:rPr>
                <w:rFonts w:hint="eastAsia" w:ascii="黑体" w:hAnsi="黑体" w:eastAsia="黑体" w:cs="黑体"/>
                <w:spacing w:val="-2"/>
                <w:sz w:val="21"/>
              </w:rPr>
              <w:t>急管理；事故管理等。</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2" w:hRule="atLeast"/>
        </w:trPr>
        <w:tc>
          <w:tcPr>
            <w:tcW w:w="824" w:type="dxa"/>
            <w:vMerge w:val="continue"/>
            <w:tcBorders>
              <w:top w:val="nil"/>
            </w:tcBorders>
          </w:tcPr>
          <w:p>
            <w:pPr>
              <w:rPr>
                <w:rFonts w:hint="eastAsia" w:ascii="黑体" w:hAnsi="黑体" w:eastAsia="黑体" w:cs="黑体"/>
                <w:sz w:val="2"/>
                <w:szCs w:val="2"/>
              </w:rPr>
            </w:pPr>
          </w:p>
        </w:tc>
        <w:tc>
          <w:tcPr>
            <w:tcW w:w="1426" w:type="dxa"/>
            <w:vMerge w:val="continue"/>
            <w:tcBorders>
              <w:top w:val="nil"/>
            </w:tcBorders>
          </w:tcPr>
          <w:p>
            <w:pPr>
              <w:rPr>
                <w:rFonts w:hint="eastAsia" w:ascii="黑体" w:hAnsi="黑体" w:eastAsia="黑体" w:cs="黑体"/>
                <w:sz w:val="2"/>
                <w:szCs w:val="2"/>
              </w:rPr>
            </w:pPr>
          </w:p>
        </w:tc>
        <w:tc>
          <w:tcPr>
            <w:tcW w:w="1627" w:type="dxa"/>
          </w:tcPr>
          <w:p>
            <w:pPr>
              <w:pStyle w:val="5"/>
              <w:spacing w:before="17"/>
              <w:rPr>
                <w:rFonts w:hint="eastAsia" w:ascii="黑体" w:hAnsi="黑体" w:eastAsia="黑体" w:cs="黑体"/>
                <w:sz w:val="12"/>
              </w:rPr>
            </w:pPr>
          </w:p>
          <w:p>
            <w:pPr>
              <w:pStyle w:val="5"/>
              <w:ind w:left="181" w:right="172"/>
              <w:jc w:val="center"/>
              <w:rPr>
                <w:rFonts w:hint="eastAsia" w:ascii="黑体" w:hAnsi="黑体" w:eastAsia="黑体" w:cs="黑体"/>
                <w:sz w:val="21"/>
              </w:rPr>
            </w:pPr>
            <w:r>
              <w:rPr>
                <w:rFonts w:hint="eastAsia" w:ascii="黑体" w:hAnsi="黑体" w:eastAsia="黑体" w:cs="黑体"/>
                <w:spacing w:val="-8"/>
                <w:sz w:val="21"/>
              </w:rPr>
              <w:t>操作规程</w:t>
            </w:r>
          </w:p>
        </w:tc>
        <w:tc>
          <w:tcPr>
            <w:tcW w:w="7703" w:type="dxa"/>
          </w:tcPr>
          <w:p>
            <w:pPr>
              <w:pStyle w:val="5"/>
              <w:spacing w:before="15" w:line="213" w:lineRule="auto"/>
              <w:ind w:left="107" w:right="169"/>
              <w:jc w:val="both"/>
              <w:rPr>
                <w:rFonts w:hint="eastAsia" w:ascii="黑体" w:hAnsi="黑体" w:eastAsia="黑体" w:cs="黑体"/>
                <w:sz w:val="21"/>
              </w:rPr>
            </w:pPr>
            <w:r>
              <w:rPr>
                <w:rFonts w:hint="eastAsia" w:ascii="黑体" w:hAnsi="黑体" w:eastAsia="黑体" w:cs="黑体"/>
                <w:spacing w:val="-6"/>
                <w:sz w:val="21"/>
              </w:rPr>
              <w:t>根据本单位生产工艺、作业任务特点和岗位风险，编制齐全、适用的岗位安全生产操作规程；新技术、新材料、新工艺、新设备设施投入使用前，组织制修订相应的</w:t>
            </w:r>
            <w:r>
              <w:rPr>
                <w:rFonts w:hint="eastAsia" w:ascii="黑体" w:hAnsi="黑体" w:eastAsia="黑体" w:cs="黑体"/>
                <w:spacing w:val="-2"/>
                <w:sz w:val="21"/>
              </w:rPr>
              <w:t>安全生产操作规程，确保其适宜性和有效性。</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824" w:type="dxa"/>
            <w:vMerge w:val="continue"/>
            <w:tcBorders>
              <w:top w:val="nil"/>
            </w:tcBorders>
          </w:tcPr>
          <w:p>
            <w:pPr>
              <w:rPr>
                <w:rFonts w:hint="eastAsia" w:ascii="黑体" w:hAnsi="黑体" w:eastAsia="黑体" w:cs="黑体"/>
                <w:sz w:val="2"/>
                <w:szCs w:val="2"/>
              </w:rPr>
            </w:pPr>
          </w:p>
        </w:tc>
        <w:tc>
          <w:tcPr>
            <w:tcW w:w="1426" w:type="dxa"/>
            <w:vMerge w:val="continue"/>
            <w:tcBorders>
              <w:top w:val="nil"/>
            </w:tcBorders>
          </w:tcPr>
          <w:p>
            <w:pPr>
              <w:rPr>
                <w:rFonts w:hint="eastAsia" w:ascii="黑体" w:hAnsi="黑体" w:eastAsia="黑体" w:cs="黑体"/>
                <w:sz w:val="2"/>
                <w:szCs w:val="2"/>
              </w:rPr>
            </w:pPr>
          </w:p>
        </w:tc>
        <w:tc>
          <w:tcPr>
            <w:tcW w:w="1627" w:type="dxa"/>
          </w:tcPr>
          <w:p>
            <w:pPr>
              <w:pStyle w:val="5"/>
              <w:spacing w:before="122"/>
              <w:ind w:left="186" w:right="172"/>
              <w:jc w:val="center"/>
              <w:rPr>
                <w:rFonts w:hint="eastAsia" w:ascii="黑体" w:hAnsi="黑体" w:eastAsia="黑体" w:cs="黑体"/>
                <w:sz w:val="21"/>
              </w:rPr>
            </w:pPr>
            <w:r>
              <w:rPr>
                <w:rFonts w:hint="eastAsia" w:ascii="黑体" w:hAnsi="黑体" w:eastAsia="黑体" w:cs="黑体"/>
                <w:spacing w:val="-7"/>
                <w:sz w:val="21"/>
              </w:rPr>
              <w:t>执行规章制度</w:t>
            </w:r>
          </w:p>
        </w:tc>
        <w:tc>
          <w:tcPr>
            <w:tcW w:w="7703" w:type="dxa"/>
          </w:tcPr>
          <w:p>
            <w:pPr>
              <w:pStyle w:val="5"/>
              <w:spacing w:before="18" w:line="211" w:lineRule="auto"/>
              <w:ind w:left="107" w:right="194"/>
              <w:rPr>
                <w:rFonts w:hint="eastAsia" w:ascii="黑体" w:hAnsi="黑体" w:eastAsia="黑体" w:cs="黑体"/>
                <w:sz w:val="21"/>
              </w:rPr>
            </w:pPr>
            <w:r>
              <w:rPr>
                <w:rFonts w:hint="eastAsia" w:ascii="黑体" w:hAnsi="黑体" w:eastAsia="黑体" w:cs="黑体"/>
                <w:spacing w:val="-6"/>
                <w:sz w:val="21"/>
              </w:rPr>
              <w:t>施督促从业人员严格执行本单位的安全生产规章制度和安全操作规程，杜绝</w:t>
            </w:r>
            <w:r>
              <w:rPr>
                <w:rFonts w:hint="eastAsia" w:ascii="黑体" w:hAnsi="黑体" w:eastAsia="黑体" w:cs="黑体"/>
                <w:spacing w:val="-6"/>
                <w:sz w:val="21"/>
              </w:rPr>
              <w:t>“</w:t>
            </w:r>
            <w:r>
              <w:rPr>
                <w:rFonts w:hint="eastAsia" w:ascii="黑体" w:hAnsi="黑体" w:eastAsia="黑体" w:cs="黑体"/>
                <w:spacing w:val="-6"/>
                <w:sz w:val="21"/>
              </w:rPr>
              <w:t>三违</w:t>
            </w:r>
            <w:r>
              <w:rPr>
                <w:rFonts w:hint="eastAsia" w:ascii="黑体" w:hAnsi="黑体" w:eastAsia="黑体" w:cs="黑体"/>
                <w:spacing w:val="-6"/>
                <w:sz w:val="21"/>
              </w:rPr>
              <w:t>”</w:t>
            </w:r>
            <w:r>
              <w:rPr>
                <w:rFonts w:hint="eastAsia" w:ascii="黑体" w:hAnsi="黑体" w:eastAsia="黑体" w:cs="黑体"/>
                <w:spacing w:val="-4"/>
                <w:sz w:val="21"/>
              </w:rPr>
              <w:t>行为。</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1" w:hRule="atLeast"/>
        </w:trPr>
        <w:tc>
          <w:tcPr>
            <w:tcW w:w="824" w:type="dxa"/>
            <w:vMerge w:val="restart"/>
          </w:tcPr>
          <w:p>
            <w:pPr>
              <w:pStyle w:val="5"/>
              <w:spacing w:before="4"/>
              <w:rPr>
                <w:rFonts w:hint="eastAsia" w:ascii="黑体" w:hAnsi="黑体" w:eastAsia="黑体" w:cs="黑体"/>
                <w:sz w:val="17"/>
              </w:rPr>
            </w:pPr>
          </w:p>
          <w:p>
            <w:pPr>
              <w:pStyle w:val="5"/>
              <w:spacing w:before="1"/>
              <w:ind w:left="7"/>
              <w:jc w:val="center"/>
              <w:rPr>
                <w:rFonts w:hint="eastAsia" w:ascii="黑体" w:hAnsi="黑体" w:eastAsia="黑体" w:cs="黑体"/>
                <w:sz w:val="21"/>
              </w:rPr>
            </w:pPr>
            <w:r>
              <w:rPr>
                <w:rFonts w:hint="eastAsia" w:ascii="黑体" w:hAnsi="黑体" w:eastAsia="黑体" w:cs="黑体"/>
                <w:w w:val="99"/>
                <w:sz w:val="21"/>
              </w:rPr>
              <w:t>5</w:t>
            </w:r>
          </w:p>
        </w:tc>
        <w:tc>
          <w:tcPr>
            <w:tcW w:w="1426" w:type="dxa"/>
            <w:vMerge w:val="restart"/>
          </w:tcPr>
          <w:p>
            <w:pPr>
              <w:pStyle w:val="5"/>
              <w:spacing w:before="7"/>
              <w:rPr>
                <w:rFonts w:hint="eastAsia" w:ascii="黑体" w:hAnsi="黑体" w:eastAsia="黑体" w:cs="黑体"/>
                <w:sz w:val="9"/>
              </w:rPr>
            </w:pPr>
          </w:p>
          <w:p>
            <w:pPr>
              <w:pStyle w:val="5"/>
              <w:spacing w:line="211" w:lineRule="auto"/>
              <w:ind w:left="609" w:right="184" w:hanging="413"/>
              <w:rPr>
                <w:rFonts w:hint="eastAsia" w:ascii="黑体" w:hAnsi="黑体" w:eastAsia="黑体" w:cs="黑体"/>
                <w:sz w:val="21"/>
              </w:rPr>
            </w:pPr>
            <w:r>
              <w:rPr>
                <w:rFonts w:hint="eastAsia" w:ascii="黑体" w:hAnsi="黑体" w:eastAsia="黑体" w:cs="黑体"/>
                <w:spacing w:val="-6"/>
                <w:sz w:val="21"/>
              </w:rPr>
              <w:t>安全生产投</w:t>
            </w:r>
            <w:r>
              <w:rPr>
                <w:rFonts w:hint="eastAsia" w:ascii="黑体" w:hAnsi="黑体" w:eastAsia="黑体" w:cs="黑体"/>
                <w:spacing w:val="-10"/>
                <w:sz w:val="21"/>
              </w:rPr>
              <w:t>入</w:t>
            </w:r>
          </w:p>
        </w:tc>
        <w:tc>
          <w:tcPr>
            <w:tcW w:w="1627" w:type="dxa"/>
          </w:tcPr>
          <w:p>
            <w:pPr>
              <w:pStyle w:val="5"/>
              <w:spacing w:before="124"/>
              <w:ind w:left="186" w:right="172"/>
              <w:jc w:val="center"/>
              <w:rPr>
                <w:rFonts w:hint="eastAsia" w:ascii="黑体" w:hAnsi="黑体" w:eastAsia="黑体" w:cs="黑体"/>
                <w:sz w:val="21"/>
              </w:rPr>
            </w:pPr>
            <w:r>
              <w:rPr>
                <w:rFonts w:hint="eastAsia" w:ascii="黑体" w:hAnsi="黑体" w:eastAsia="黑体" w:cs="黑体"/>
                <w:spacing w:val="-7"/>
                <w:sz w:val="21"/>
              </w:rPr>
              <w:t>安全投入管理</w:t>
            </w:r>
          </w:p>
        </w:tc>
        <w:tc>
          <w:tcPr>
            <w:tcW w:w="7703" w:type="dxa"/>
          </w:tcPr>
          <w:p>
            <w:pPr>
              <w:pStyle w:val="5"/>
              <w:spacing w:before="15" w:line="213" w:lineRule="auto"/>
              <w:ind w:left="107" w:right="169"/>
              <w:rPr>
                <w:rFonts w:hint="eastAsia" w:ascii="黑体" w:hAnsi="黑体" w:eastAsia="黑体" w:cs="黑体"/>
                <w:sz w:val="21"/>
              </w:rPr>
            </w:pPr>
            <w:r>
              <w:rPr>
                <w:rFonts w:hint="eastAsia" w:ascii="黑体" w:hAnsi="黑体" w:eastAsia="黑体" w:cs="黑体"/>
                <w:spacing w:val="-6"/>
                <w:sz w:val="21"/>
              </w:rPr>
              <w:t>按照规定提取和使用安全生产费用，建立安全生产费用使用计划和使用台账，专款</w:t>
            </w:r>
            <w:r>
              <w:rPr>
                <w:rFonts w:hint="eastAsia" w:ascii="黑体" w:hAnsi="黑体" w:eastAsia="黑体" w:cs="黑体"/>
                <w:spacing w:val="-4"/>
                <w:sz w:val="21"/>
              </w:rPr>
              <w:t>专用。</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7" w:hRule="atLeast"/>
        </w:trPr>
        <w:tc>
          <w:tcPr>
            <w:tcW w:w="824" w:type="dxa"/>
            <w:vMerge w:val="continue"/>
            <w:tcBorders>
              <w:top w:val="nil"/>
            </w:tcBorders>
          </w:tcPr>
          <w:p>
            <w:pPr>
              <w:rPr>
                <w:rFonts w:hint="eastAsia" w:ascii="黑体" w:hAnsi="黑体" w:eastAsia="黑体" w:cs="黑体"/>
                <w:sz w:val="2"/>
                <w:szCs w:val="2"/>
              </w:rPr>
            </w:pPr>
          </w:p>
        </w:tc>
        <w:tc>
          <w:tcPr>
            <w:tcW w:w="1426" w:type="dxa"/>
            <w:vMerge w:val="continue"/>
            <w:tcBorders>
              <w:top w:val="nil"/>
            </w:tcBorders>
          </w:tcPr>
          <w:p>
            <w:pPr>
              <w:rPr>
                <w:rFonts w:hint="eastAsia" w:ascii="黑体" w:hAnsi="黑体" w:eastAsia="黑体" w:cs="黑体"/>
                <w:sz w:val="2"/>
                <w:szCs w:val="2"/>
              </w:rPr>
            </w:pPr>
          </w:p>
        </w:tc>
        <w:tc>
          <w:tcPr>
            <w:tcW w:w="1627" w:type="dxa"/>
          </w:tcPr>
          <w:p>
            <w:pPr>
              <w:pStyle w:val="5"/>
              <w:spacing w:line="296" w:lineRule="exact"/>
              <w:ind w:left="181" w:right="172"/>
              <w:jc w:val="center"/>
              <w:rPr>
                <w:rFonts w:hint="eastAsia" w:ascii="黑体" w:hAnsi="黑体" w:eastAsia="黑体" w:cs="黑体"/>
                <w:sz w:val="21"/>
              </w:rPr>
            </w:pPr>
            <w:r>
              <w:rPr>
                <w:rFonts w:hint="eastAsia" w:ascii="黑体" w:hAnsi="黑体" w:eastAsia="黑体" w:cs="黑体"/>
                <w:spacing w:val="-8"/>
                <w:sz w:val="21"/>
              </w:rPr>
              <w:t>工伤保险</w:t>
            </w:r>
          </w:p>
        </w:tc>
        <w:tc>
          <w:tcPr>
            <w:tcW w:w="7703" w:type="dxa"/>
          </w:tcPr>
          <w:p>
            <w:pPr>
              <w:pStyle w:val="5"/>
              <w:spacing w:line="296" w:lineRule="exact"/>
              <w:ind w:left="107"/>
              <w:rPr>
                <w:rFonts w:hint="eastAsia" w:ascii="黑体" w:hAnsi="黑体" w:eastAsia="黑体" w:cs="黑体"/>
                <w:sz w:val="21"/>
              </w:rPr>
            </w:pPr>
            <w:r>
              <w:rPr>
                <w:rFonts w:hint="eastAsia" w:ascii="黑体" w:hAnsi="黑体" w:eastAsia="黑体" w:cs="黑体"/>
                <w:spacing w:val="-7"/>
                <w:sz w:val="21"/>
              </w:rPr>
              <w:t>依法为所有从业人员缴纳工伤保险费，并为从事高危作业的员工投保意外伤害险。</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1" w:hRule="atLeast"/>
        </w:trPr>
        <w:tc>
          <w:tcPr>
            <w:tcW w:w="824" w:type="dxa"/>
            <w:vMerge w:val="restart"/>
          </w:tcPr>
          <w:p>
            <w:pPr>
              <w:pStyle w:val="5"/>
              <w:spacing w:before="2"/>
              <w:rPr>
                <w:rFonts w:hint="eastAsia" w:ascii="黑体" w:hAnsi="黑体" w:eastAsia="黑体" w:cs="黑体"/>
                <w:sz w:val="24"/>
              </w:rPr>
            </w:pPr>
          </w:p>
          <w:p>
            <w:pPr>
              <w:pStyle w:val="5"/>
              <w:ind w:left="7"/>
              <w:jc w:val="center"/>
              <w:rPr>
                <w:rFonts w:hint="eastAsia" w:ascii="黑体" w:hAnsi="黑体" w:eastAsia="黑体" w:cs="黑体"/>
                <w:sz w:val="21"/>
              </w:rPr>
            </w:pPr>
            <w:r>
              <w:rPr>
                <w:rFonts w:hint="eastAsia" w:ascii="黑体" w:hAnsi="黑体" w:eastAsia="黑体" w:cs="黑体"/>
                <w:w w:val="99"/>
                <w:sz w:val="21"/>
              </w:rPr>
              <w:t>6</w:t>
            </w:r>
          </w:p>
        </w:tc>
        <w:tc>
          <w:tcPr>
            <w:tcW w:w="1426" w:type="dxa"/>
            <w:vMerge w:val="restart"/>
          </w:tcPr>
          <w:p>
            <w:pPr>
              <w:pStyle w:val="5"/>
              <w:spacing w:before="2"/>
              <w:rPr>
                <w:rFonts w:hint="eastAsia" w:ascii="黑体" w:hAnsi="黑体" w:eastAsia="黑体" w:cs="黑体"/>
                <w:sz w:val="16"/>
              </w:rPr>
            </w:pPr>
          </w:p>
          <w:p>
            <w:pPr>
              <w:pStyle w:val="5"/>
              <w:spacing w:line="211" w:lineRule="auto"/>
              <w:ind w:left="403" w:right="184" w:hanging="207"/>
              <w:rPr>
                <w:rFonts w:hint="eastAsia" w:ascii="黑体" w:hAnsi="黑体" w:eastAsia="黑体" w:cs="黑体"/>
                <w:sz w:val="21"/>
              </w:rPr>
            </w:pPr>
            <w:r>
              <w:rPr>
                <w:rFonts w:hint="eastAsia" w:ascii="黑体" w:hAnsi="黑体" w:eastAsia="黑体" w:cs="黑体"/>
                <w:spacing w:val="-6"/>
                <w:sz w:val="21"/>
              </w:rPr>
              <w:t>安全生产教</w:t>
            </w:r>
            <w:r>
              <w:rPr>
                <w:rFonts w:hint="eastAsia" w:ascii="黑体" w:hAnsi="黑体" w:eastAsia="黑体" w:cs="黑体"/>
                <w:spacing w:val="-4"/>
                <w:sz w:val="21"/>
              </w:rPr>
              <w:t>育培训</w:t>
            </w:r>
          </w:p>
        </w:tc>
        <w:tc>
          <w:tcPr>
            <w:tcW w:w="1627" w:type="dxa"/>
            <w:vMerge w:val="restart"/>
          </w:tcPr>
          <w:p>
            <w:pPr>
              <w:pStyle w:val="5"/>
              <w:spacing w:before="8"/>
              <w:rPr>
                <w:rFonts w:hint="eastAsia" w:ascii="黑体" w:hAnsi="黑体" w:eastAsia="黑体" w:cs="黑体"/>
                <w:sz w:val="21"/>
              </w:rPr>
            </w:pPr>
          </w:p>
          <w:p>
            <w:pPr>
              <w:pStyle w:val="5"/>
              <w:ind w:left="196"/>
              <w:rPr>
                <w:rFonts w:hint="eastAsia" w:ascii="黑体" w:hAnsi="黑体" w:eastAsia="黑体" w:cs="黑体"/>
                <w:sz w:val="21"/>
              </w:rPr>
            </w:pPr>
            <w:r>
              <w:rPr>
                <w:rFonts w:hint="eastAsia" w:ascii="黑体" w:hAnsi="黑体" w:eastAsia="黑体" w:cs="黑体"/>
                <w:spacing w:val="-7"/>
                <w:sz w:val="21"/>
              </w:rPr>
              <w:t>教育培训管理</w:t>
            </w:r>
          </w:p>
        </w:tc>
        <w:tc>
          <w:tcPr>
            <w:tcW w:w="7703" w:type="dxa"/>
          </w:tcPr>
          <w:p>
            <w:pPr>
              <w:pStyle w:val="5"/>
              <w:spacing w:before="19" w:line="211" w:lineRule="auto"/>
              <w:ind w:left="107" w:right="-15"/>
              <w:rPr>
                <w:rFonts w:hint="eastAsia" w:ascii="黑体" w:hAnsi="黑体" w:eastAsia="黑体" w:cs="黑体"/>
                <w:sz w:val="21"/>
              </w:rPr>
            </w:pPr>
            <w:r>
              <w:rPr>
                <w:rFonts w:hint="eastAsia" w:ascii="黑体" w:hAnsi="黑体" w:eastAsia="黑体" w:cs="黑体"/>
                <w:spacing w:val="-6"/>
                <w:sz w:val="21"/>
              </w:rPr>
              <w:t>识别本单位安全和职业卫生教育培训需求，制定年度安全和职业卫生教育培训计划，</w:t>
            </w:r>
            <w:r>
              <w:rPr>
                <w:rFonts w:hint="eastAsia" w:ascii="黑体" w:hAnsi="黑体" w:eastAsia="黑体" w:cs="黑体"/>
                <w:spacing w:val="-2"/>
                <w:sz w:val="21"/>
              </w:rPr>
              <w:t>并安排培训、教育所需的专项资金。</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8" w:hRule="atLeast"/>
        </w:trPr>
        <w:tc>
          <w:tcPr>
            <w:tcW w:w="824" w:type="dxa"/>
            <w:vMerge w:val="continue"/>
            <w:tcBorders>
              <w:top w:val="nil"/>
            </w:tcBorders>
          </w:tcPr>
          <w:p>
            <w:pPr>
              <w:rPr>
                <w:rFonts w:hint="eastAsia" w:ascii="黑体" w:hAnsi="黑体" w:eastAsia="黑体" w:cs="黑体"/>
                <w:sz w:val="2"/>
                <w:szCs w:val="2"/>
              </w:rPr>
            </w:pPr>
          </w:p>
        </w:tc>
        <w:tc>
          <w:tcPr>
            <w:tcW w:w="1426" w:type="dxa"/>
            <w:vMerge w:val="continue"/>
            <w:tcBorders>
              <w:top w:val="nil"/>
            </w:tcBorders>
          </w:tcPr>
          <w:p>
            <w:pPr>
              <w:rPr>
                <w:rFonts w:hint="eastAsia" w:ascii="黑体" w:hAnsi="黑体" w:eastAsia="黑体" w:cs="黑体"/>
                <w:sz w:val="2"/>
                <w:szCs w:val="2"/>
              </w:rPr>
            </w:pPr>
          </w:p>
        </w:tc>
        <w:tc>
          <w:tcPr>
            <w:tcW w:w="1627" w:type="dxa"/>
            <w:vMerge w:val="continue"/>
            <w:tcBorders>
              <w:top w:val="nil"/>
            </w:tcBorders>
          </w:tcPr>
          <w:p>
            <w:pPr>
              <w:rPr>
                <w:rFonts w:hint="eastAsia" w:ascii="黑体" w:hAnsi="黑体" w:eastAsia="黑体" w:cs="黑体"/>
                <w:sz w:val="2"/>
                <w:szCs w:val="2"/>
              </w:rPr>
            </w:pPr>
          </w:p>
        </w:tc>
        <w:tc>
          <w:tcPr>
            <w:tcW w:w="7703" w:type="dxa"/>
          </w:tcPr>
          <w:p>
            <w:pPr>
              <w:pStyle w:val="5"/>
              <w:spacing w:before="15" w:line="213" w:lineRule="auto"/>
              <w:ind w:left="107" w:right="169"/>
              <w:rPr>
                <w:rFonts w:hint="eastAsia" w:ascii="黑体" w:hAnsi="黑体" w:eastAsia="黑体" w:cs="黑体"/>
                <w:sz w:val="21"/>
              </w:rPr>
            </w:pPr>
            <w:r>
              <w:rPr>
                <w:rFonts w:hint="eastAsia" w:ascii="黑体" w:hAnsi="黑体" w:eastAsia="黑体" w:cs="黑体"/>
                <w:spacing w:val="-6"/>
                <w:sz w:val="21"/>
              </w:rPr>
              <w:t>建立安全生产教育培训档案，如实记录从业人员参加安全生产教育和培训的时间、</w:t>
            </w:r>
            <w:r>
              <w:rPr>
                <w:rFonts w:hint="eastAsia" w:ascii="黑体" w:hAnsi="黑体" w:eastAsia="黑体" w:cs="黑体"/>
                <w:spacing w:val="-2"/>
                <w:sz w:val="21"/>
              </w:rPr>
              <w:t>内容和考核结果的情况。</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bl>
    <w:p>
      <w:pPr>
        <w:spacing w:after="0"/>
        <w:rPr>
          <w:rFonts w:hint="eastAsia" w:ascii="黑体" w:hAnsi="黑体" w:eastAsia="黑体" w:cs="黑体"/>
          <w:sz w:val="20"/>
        </w:rPr>
        <w:sectPr>
          <w:pgSz w:w="16840" w:h="11910" w:orient="landscape"/>
          <w:pgMar w:top="1340" w:right="920" w:bottom="1840" w:left="920" w:header="0" w:footer="1654" w:gutter="0"/>
          <w:cols w:space="720" w:num="1"/>
        </w:sectPr>
      </w:pPr>
    </w:p>
    <w:p>
      <w:pPr>
        <w:pStyle w:val="2"/>
        <w:rPr>
          <w:rFonts w:hint="eastAsia" w:ascii="黑体" w:hAnsi="黑体" w:eastAsia="黑体" w:cs="黑体"/>
          <w:sz w:val="12"/>
        </w:rPr>
      </w:pPr>
    </w:p>
    <w:tbl>
      <w:tblPr>
        <w:tblStyle w:val="3"/>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1426"/>
        <w:gridCol w:w="1627"/>
        <w:gridCol w:w="7703"/>
        <w:gridCol w:w="1842"/>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6" w:hRule="atLeast"/>
        </w:trPr>
        <w:tc>
          <w:tcPr>
            <w:tcW w:w="824" w:type="dxa"/>
            <w:vMerge w:val="restart"/>
          </w:tcPr>
          <w:p>
            <w:pPr>
              <w:pStyle w:val="5"/>
              <w:spacing w:before="10"/>
              <w:rPr>
                <w:rFonts w:hint="eastAsia" w:ascii="黑体" w:hAnsi="黑体" w:eastAsia="黑体" w:cs="黑体"/>
                <w:sz w:val="22"/>
              </w:rPr>
            </w:pPr>
          </w:p>
          <w:p>
            <w:pPr>
              <w:pStyle w:val="5"/>
              <w:spacing w:before="1"/>
              <w:ind w:left="204"/>
              <w:rPr>
                <w:rFonts w:hint="eastAsia" w:ascii="黑体" w:hAnsi="黑体" w:eastAsia="黑体" w:cs="黑体"/>
                <w:sz w:val="21"/>
              </w:rPr>
            </w:pPr>
            <w:r>
              <w:rPr>
                <w:rFonts w:hint="eastAsia" w:ascii="黑体" w:hAnsi="黑体" w:eastAsia="黑体" w:cs="黑体"/>
                <w:spacing w:val="-9"/>
                <w:sz w:val="21"/>
              </w:rPr>
              <w:t>序号</w:t>
            </w:r>
          </w:p>
        </w:tc>
        <w:tc>
          <w:tcPr>
            <w:tcW w:w="3053" w:type="dxa"/>
            <w:gridSpan w:val="2"/>
          </w:tcPr>
          <w:p>
            <w:pPr>
              <w:pStyle w:val="5"/>
              <w:spacing w:line="336" w:lineRule="exact"/>
              <w:ind w:left="1102" w:right="1092"/>
              <w:jc w:val="center"/>
              <w:rPr>
                <w:rFonts w:hint="eastAsia" w:ascii="黑体" w:hAnsi="黑体" w:eastAsia="黑体" w:cs="黑体"/>
                <w:sz w:val="21"/>
              </w:rPr>
            </w:pPr>
            <w:r>
              <w:rPr>
                <w:rFonts w:hint="eastAsia" w:ascii="黑体" w:hAnsi="黑体" w:eastAsia="黑体" w:cs="黑体"/>
                <w:spacing w:val="-8"/>
                <w:sz w:val="21"/>
              </w:rPr>
              <w:t>检查项目</w:t>
            </w:r>
          </w:p>
        </w:tc>
        <w:tc>
          <w:tcPr>
            <w:tcW w:w="7703" w:type="dxa"/>
            <w:vMerge w:val="restart"/>
          </w:tcPr>
          <w:p>
            <w:pPr>
              <w:pStyle w:val="5"/>
              <w:spacing w:before="10"/>
              <w:rPr>
                <w:rFonts w:hint="eastAsia" w:ascii="黑体" w:hAnsi="黑体" w:eastAsia="黑体" w:cs="黑体"/>
                <w:sz w:val="22"/>
              </w:rPr>
            </w:pPr>
          </w:p>
          <w:p>
            <w:pPr>
              <w:pStyle w:val="5"/>
              <w:spacing w:before="1"/>
              <w:ind w:left="3428" w:right="3417"/>
              <w:jc w:val="center"/>
              <w:rPr>
                <w:rFonts w:hint="eastAsia" w:ascii="黑体" w:hAnsi="黑体" w:eastAsia="黑体" w:cs="黑体"/>
                <w:sz w:val="21"/>
              </w:rPr>
            </w:pPr>
            <w:r>
              <w:rPr>
                <w:rFonts w:hint="eastAsia" w:ascii="黑体" w:hAnsi="黑体" w:eastAsia="黑体" w:cs="黑体"/>
                <w:spacing w:val="-8"/>
                <w:sz w:val="21"/>
              </w:rPr>
              <w:t>检查清单</w:t>
            </w:r>
          </w:p>
        </w:tc>
        <w:tc>
          <w:tcPr>
            <w:tcW w:w="1842" w:type="dxa"/>
            <w:vMerge w:val="restart"/>
          </w:tcPr>
          <w:p>
            <w:pPr>
              <w:pStyle w:val="5"/>
              <w:spacing w:line="305" w:lineRule="exact"/>
              <w:ind w:left="194" w:right="184"/>
              <w:jc w:val="center"/>
              <w:rPr>
                <w:rFonts w:hint="eastAsia" w:ascii="黑体" w:hAnsi="黑体" w:eastAsia="黑体" w:cs="黑体"/>
                <w:sz w:val="21"/>
              </w:rPr>
            </w:pPr>
            <w:r>
              <w:rPr>
                <w:rFonts w:hint="eastAsia" w:ascii="黑体" w:hAnsi="黑体" w:eastAsia="黑体" w:cs="黑体"/>
                <w:spacing w:val="-8"/>
                <w:sz w:val="21"/>
              </w:rPr>
              <w:t>责任人</w:t>
            </w:r>
          </w:p>
          <w:p>
            <w:pPr>
              <w:pStyle w:val="5"/>
              <w:spacing w:before="25" w:line="204" w:lineRule="auto"/>
              <w:ind w:left="200" w:right="184"/>
              <w:jc w:val="center"/>
              <w:rPr>
                <w:rFonts w:hint="eastAsia" w:ascii="黑体" w:hAnsi="黑体" w:eastAsia="黑体" w:cs="黑体"/>
                <w:sz w:val="21"/>
              </w:rPr>
            </w:pPr>
            <w:r>
              <w:rPr>
                <w:rFonts w:hint="eastAsia" w:ascii="黑体" w:hAnsi="黑体" w:eastAsia="黑体" w:cs="黑体"/>
                <w:spacing w:val="-6"/>
                <w:sz w:val="21"/>
              </w:rPr>
              <w:t>（明确到各岗位一线操作者具体</w:t>
            </w:r>
            <w:r>
              <w:rPr>
                <w:rFonts w:hint="eastAsia" w:ascii="黑体" w:hAnsi="黑体" w:eastAsia="黑体" w:cs="黑体"/>
                <w:spacing w:val="-4"/>
                <w:sz w:val="21"/>
              </w:rPr>
              <w:t>责任人）</w:t>
            </w:r>
          </w:p>
        </w:tc>
        <w:tc>
          <w:tcPr>
            <w:tcW w:w="1340" w:type="dxa"/>
            <w:vMerge w:val="restart"/>
          </w:tcPr>
          <w:p>
            <w:pPr>
              <w:pStyle w:val="5"/>
              <w:spacing w:before="164" w:line="289" w:lineRule="exact"/>
              <w:ind w:left="449" w:right="438"/>
              <w:jc w:val="center"/>
              <w:rPr>
                <w:rFonts w:hint="eastAsia" w:ascii="黑体" w:hAnsi="黑体" w:eastAsia="黑体" w:cs="黑体"/>
                <w:sz w:val="21"/>
              </w:rPr>
            </w:pPr>
            <w:r>
              <w:rPr>
                <w:rFonts w:hint="eastAsia" w:ascii="黑体" w:hAnsi="黑体" w:eastAsia="黑体" w:cs="黑体"/>
                <w:spacing w:val="-9"/>
                <w:sz w:val="21"/>
              </w:rPr>
              <w:t>备注</w:t>
            </w:r>
          </w:p>
          <w:p>
            <w:pPr>
              <w:pStyle w:val="5"/>
              <w:spacing w:before="9" w:line="213" w:lineRule="auto"/>
              <w:ind w:left="155" w:right="140"/>
              <w:jc w:val="both"/>
              <w:rPr>
                <w:rFonts w:hint="eastAsia" w:ascii="黑体" w:hAnsi="黑体" w:eastAsia="黑体" w:cs="黑体"/>
                <w:sz w:val="21"/>
              </w:rPr>
            </w:pPr>
            <w:r>
              <w:rPr>
                <w:rFonts w:hint="eastAsia" w:ascii="黑体" w:hAnsi="黑体" w:eastAsia="黑体" w:cs="黑体"/>
                <w:spacing w:val="-6"/>
                <w:sz w:val="21"/>
              </w:rPr>
              <w:t>（明确检查周期、抽查</w:t>
            </w:r>
            <w:r>
              <w:rPr>
                <w:rFonts w:hint="eastAsia" w:ascii="黑体" w:hAnsi="黑体" w:eastAsia="黑体" w:cs="黑体"/>
                <w:spacing w:val="-4"/>
                <w:sz w:val="21"/>
              </w:rPr>
              <w:t>比例等）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1" w:hRule="atLeast"/>
        </w:trPr>
        <w:tc>
          <w:tcPr>
            <w:tcW w:w="824" w:type="dxa"/>
            <w:vMerge w:val="continue"/>
            <w:tcBorders>
              <w:top w:val="nil"/>
            </w:tcBorders>
          </w:tcPr>
          <w:p>
            <w:pPr>
              <w:rPr>
                <w:rFonts w:hint="eastAsia" w:ascii="黑体" w:hAnsi="黑体" w:eastAsia="黑体" w:cs="黑体"/>
                <w:sz w:val="2"/>
                <w:szCs w:val="2"/>
              </w:rPr>
            </w:pPr>
          </w:p>
        </w:tc>
        <w:tc>
          <w:tcPr>
            <w:tcW w:w="1426" w:type="dxa"/>
          </w:tcPr>
          <w:p>
            <w:pPr>
              <w:pStyle w:val="5"/>
              <w:spacing w:before="239"/>
              <w:ind w:left="300"/>
              <w:rPr>
                <w:rFonts w:hint="eastAsia" w:ascii="黑体" w:hAnsi="黑体" w:eastAsia="黑体" w:cs="黑体"/>
                <w:sz w:val="21"/>
              </w:rPr>
            </w:pPr>
            <w:r>
              <w:rPr>
                <w:rFonts w:hint="eastAsia" w:ascii="黑体" w:hAnsi="黑体" w:eastAsia="黑体" w:cs="黑体"/>
                <w:spacing w:val="-8"/>
                <w:sz w:val="21"/>
              </w:rPr>
              <w:t>一级要素</w:t>
            </w:r>
          </w:p>
        </w:tc>
        <w:tc>
          <w:tcPr>
            <w:tcW w:w="1627" w:type="dxa"/>
          </w:tcPr>
          <w:p>
            <w:pPr>
              <w:pStyle w:val="5"/>
              <w:spacing w:before="239"/>
              <w:ind w:left="181" w:right="172"/>
              <w:jc w:val="center"/>
              <w:rPr>
                <w:rFonts w:hint="eastAsia" w:ascii="黑体" w:hAnsi="黑体" w:eastAsia="黑体" w:cs="黑体"/>
                <w:sz w:val="21"/>
              </w:rPr>
            </w:pPr>
            <w:r>
              <w:rPr>
                <w:rFonts w:hint="eastAsia" w:ascii="黑体" w:hAnsi="黑体" w:eastAsia="黑体" w:cs="黑体"/>
                <w:spacing w:val="-8"/>
                <w:sz w:val="21"/>
              </w:rPr>
              <w:t>二级要素</w:t>
            </w:r>
          </w:p>
        </w:tc>
        <w:tc>
          <w:tcPr>
            <w:tcW w:w="7703" w:type="dxa"/>
            <w:vMerge w:val="continue"/>
            <w:tcBorders>
              <w:top w:val="nil"/>
            </w:tcBorders>
          </w:tcPr>
          <w:p>
            <w:pPr>
              <w:rPr>
                <w:rFonts w:hint="eastAsia" w:ascii="黑体" w:hAnsi="黑体" w:eastAsia="黑体" w:cs="黑体"/>
                <w:sz w:val="2"/>
                <w:szCs w:val="2"/>
              </w:rPr>
            </w:pPr>
          </w:p>
        </w:tc>
        <w:tc>
          <w:tcPr>
            <w:tcW w:w="1842" w:type="dxa"/>
            <w:vMerge w:val="continue"/>
            <w:tcBorders>
              <w:top w:val="nil"/>
            </w:tcBorders>
          </w:tcPr>
          <w:p>
            <w:pPr>
              <w:rPr>
                <w:rFonts w:hint="eastAsia" w:ascii="黑体" w:hAnsi="黑体" w:eastAsia="黑体" w:cs="黑体"/>
                <w:sz w:val="2"/>
                <w:szCs w:val="2"/>
              </w:rPr>
            </w:pPr>
          </w:p>
        </w:tc>
        <w:tc>
          <w:tcPr>
            <w:tcW w:w="1340" w:type="dxa"/>
            <w:vMerge w:val="continue"/>
            <w:tcBorders>
              <w:top w:val="nil"/>
            </w:tcBorders>
          </w:tcPr>
          <w:p>
            <w:pPr>
              <w:rPr>
                <w:rFonts w:hint="eastAsia" w:ascii="黑体" w:hAnsi="黑体" w:eastAsia="黑体" w:cs="黑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90" w:hRule="atLeast"/>
        </w:trPr>
        <w:tc>
          <w:tcPr>
            <w:tcW w:w="824" w:type="dxa"/>
          </w:tcPr>
          <w:p>
            <w:pPr>
              <w:pStyle w:val="5"/>
              <w:rPr>
                <w:rFonts w:hint="eastAsia" w:ascii="黑体" w:hAnsi="黑体" w:eastAsia="黑体" w:cs="黑体"/>
                <w:sz w:val="20"/>
              </w:rPr>
            </w:pPr>
          </w:p>
        </w:tc>
        <w:tc>
          <w:tcPr>
            <w:tcW w:w="1426" w:type="dxa"/>
          </w:tcPr>
          <w:p>
            <w:pPr>
              <w:pStyle w:val="5"/>
              <w:rPr>
                <w:rFonts w:hint="eastAsia" w:ascii="黑体" w:hAnsi="黑体" w:eastAsia="黑体" w:cs="黑体"/>
                <w:sz w:val="20"/>
              </w:rPr>
            </w:pPr>
          </w:p>
        </w:tc>
        <w:tc>
          <w:tcPr>
            <w:tcW w:w="1627" w:type="dxa"/>
          </w:tcPr>
          <w:p>
            <w:pPr>
              <w:pStyle w:val="5"/>
              <w:rPr>
                <w:rFonts w:hint="eastAsia" w:ascii="黑体" w:hAnsi="黑体" w:eastAsia="黑体" w:cs="黑体"/>
                <w:sz w:val="20"/>
              </w:rPr>
            </w:pPr>
          </w:p>
          <w:p>
            <w:pPr>
              <w:pStyle w:val="5"/>
              <w:spacing w:before="4"/>
              <w:rPr>
                <w:rFonts w:hint="eastAsia" w:ascii="黑体" w:hAnsi="黑体" w:eastAsia="黑体" w:cs="黑体"/>
                <w:sz w:val="13"/>
              </w:rPr>
            </w:pPr>
          </w:p>
          <w:p>
            <w:pPr>
              <w:pStyle w:val="5"/>
              <w:ind w:left="186" w:right="172"/>
              <w:jc w:val="center"/>
              <w:rPr>
                <w:rFonts w:hint="eastAsia" w:ascii="黑体" w:hAnsi="黑体" w:eastAsia="黑体" w:cs="黑体"/>
                <w:sz w:val="21"/>
              </w:rPr>
            </w:pPr>
            <w:r>
              <w:rPr>
                <w:rFonts w:hint="eastAsia" w:ascii="黑体" w:hAnsi="黑体" w:eastAsia="黑体" w:cs="黑体"/>
                <w:spacing w:val="-7"/>
                <w:sz w:val="21"/>
              </w:rPr>
              <w:t>人员教育培训</w:t>
            </w:r>
          </w:p>
        </w:tc>
        <w:tc>
          <w:tcPr>
            <w:tcW w:w="7703" w:type="dxa"/>
          </w:tcPr>
          <w:p>
            <w:pPr>
              <w:pStyle w:val="5"/>
              <w:spacing w:line="277" w:lineRule="exact"/>
              <w:ind w:left="107"/>
              <w:rPr>
                <w:rFonts w:hint="eastAsia" w:ascii="黑体" w:hAnsi="黑体" w:eastAsia="黑体" w:cs="黑体"/>
                <w:sz w:val="21"/>
              </w:rPr>
            </w:pPr>
            <w:r>
              <w:rPr>
                <w:rFonts w:hint="eastAsia" w:ascii="黑体" w:hAnsi="黑体" w:eastAsia="黑体" w:cs="黑体"/>
                <w:spacing w:val="-7"/>
                <w:sz w:val="21"/>
              </w:rPr>
              <w:t>组织开展以下培训并形成教育培训档案：</w:t>
            </w:r>
          </w:p>
          <w:p>
            <w:pPr>
              <w:pStyle w:val="5"/>
              <w:numPr>
                <w:ilvl w:val="0"/>
                <w:numId w:val="1"/>
              </w:numPr>
              <w:tabs>
                <w:tab w:val="left" w:pos="265"/>
              </w:tabs>
              <w:spacing w:before="0" w:after="0" w:line="272" w:lineRule="exact"/>
              <w:ind w:left="264" w:right="0" w:hanging="158"/>
              <w:jc w:val="left"/>
              <w:rPr>
                <w:rFonts w:hint="eastAsia" w:ascii="黑体" w:hAnsi="黑体" w:eastAsia="黑体" w:cs="黑体"/>
                <w:sz w:val="21"/>
              </w:rPr>
            </w:pPr>
            <w:r>
              <w:rPr>
                <w:rFonts w:hint="eastAsia" w:ascii="黑体" w:hAnsi="黑体" w:eastAsia="黑体" w:cs="黑体"/>
                <w:spacing w:val="-6"/>
                <w:sz w:val="21"/>
              </w:rPr>
              <w:t>员工三级安全教育（包含新员工和转岗员工</w:t>
            </w:r>
            <w:r>
              <w:rPr>
                <w:rFonts w:hint="eastAsia" w:ascii="黑体" w:hAnsi="黑体" w:eastAsia="黑体" w:cs="黑体"/>
                <w:spacing w:val="-116"/>
                <w:sz w:val="21"/>
              </w:rPr>
              <w:t>）</w:t>
            </w:r>
            <w:r>
              <w:rPr>
                <w:rFonts w:hint="eastAsia" w:ascii="黑体" w:hAnsi="黑体" w:eastAsia="黑体" w:cs="黑体"/>
                <w:spacing w:val="-10"/>
                <w:sz w:val="21"/>
              </w:rPr>
              <w:t>；</w:t>
            </w:r>
          </w:p>
          <w:p>
            <w:pPr>
              <w:pStyle w:val="5"/>
              <w:numPr>
                <w:ilvl w:val="0"/>
                <w:numId w:val="1"/>
              </w:numPr>
              <w:tabs>
                <w:tab w:val="left" w:pos="265"/>
              </w:tabs>
              <w:spacing w:before="0" w:after="0" w:line="272" w:lineRule="exact"/>
              <w:ind w:left="264" w:right="0" w:hanging="158"/>
              <w:jc w:val="left"/>
              <w:rPr>
                <w:rFonts w:hint="eastAsia" w:ascii="黑体" w:hAnsi="黑体" w:eastAsia="黑体" w:cs="黑体"/>
                <w:sz w:val="21"/>
              </w:rPr>
            </w:pPr>
            <w:r>
              <w:rPr>
                <w:rFonts w:hint="eastAsia" w:ascii="黑体" w:hAnsi="黑体" w:eastAsia="黑体" w:cs="黑体"/>
                <w:spacing w:val="-6"/>
                <w:sz w:val="21"/>
              </w:rPr>
              <w:t>持证培训（安全管理资格证、特种作业人员证书、岗位技能证书</w:t>
            </w:r>
            <w:r>
              <w:rPr>
                <w:rFonts w:hint="eastAsia" w:ascii="黑体" w:hAnsi="黑体" w:eastAsia="黑体" w:cs="黑体"/>
                <w:spacing w:val="-116"/>
                <w:sz w:val="21"/>
              </w:rPr>
              <w:t>）</w:t>
            </w:r>
            <w:r>
              <w:rPr>
                <w:rFonts w:hint="eastAsia" w:ascii="黑体" w:hAnsi="黑体" w:eastAsia="黑体" w:cs="黑体"/>
                <w:spacing w:val="-10"/>
                <w:sz w:val="21"/>
              </w:rPr>
              <w:t>；</w:t>
            </w:r>
          </w:p>
          <w:p>
            <w:pPr>
              <w:pStyle w:val="5"/>
              <w:numPr>
                <w:ilvl w:val="0"/>
                <w:numId w:val="1"/>
              </w:numPr>
              <w:tabs>
                <w:tab w:val="left" w:pos="265"/>
              </w:tabs>
              <w:spacing w:before="13" w:after="0" w:line="211" w:lineRule="auto"/>
              <w:ind w:left="107" w:right="92" w:firstLine="0"/>
              <w:jc w:val="left"/>
              <w:rPr>
                <w:rFonts w:hint="eastAsia" w:ascii="黑体" w:hAnsi="黑体" w:eastAsia="黑体" w:cs="黑体"/>
                <w:sz w:val="21"/>
              </w:rPr>
            </w:pPr>
            <w:r>
              <w:rPr>
                <w:rFonts w:hint="eastAsia" w:ascii="黑体" w:hAnsi="黑体" w:eastAsia="黑体" w:cs="黑体"/>
                <w:spacing w:val="-8"/>
                <w:sz w:val="21"/>
              </w:rPr>
              <w:t>从业人员日常教育培训（包含安全和职业卫生法律法规培训、制度规程宣贯、危险</w:t>
            </w:r>
            <w:r>
              <w:rPr>
                <w:rFonts w:hint="eastAsia" w:ascii="黑体" w:hAnsi="黑体" w:eastAsia="黑体" w:cs="黑体"/>
                <w:spacing w:val="-2"/>
                <w:sz w:val="21"/>
              </w:rPr>
              <w:t>源辨识清单及管控措施培训、应急预案培训、责任目标宣贯培训等</w:t>
            </w:r>
            <w:r>
              <w:rPr>
                <w:rFonts w:hint="eastAsia" w:ascii="黑体" w:hAnsi="黑体" w:eastAsia="黑体" w:cs="黑体"/>
                <w:spacing w:val="-106"/>
                <w:sz w:val="21"/>
              </w:rPr>
              <w:t>）</w:t>
            </w:r>
            <w:r>
              <w:rPr>
                <w:rFonts w:hint="eastAsia" w:ascii="黑体" w:hAnsi="黑体" w:eastAsia="黑体" w:cs="黑体"/>
                <w:sz w:val="21"/>
              </w:rPr>
              <w:t>；</w:t>
            </w:r>
          </w:p>
          <w:p>
            <w:pPr>
              <w:pStyle w:val="5"/>
              <w:numPr>
                <w:ilvl w:val="0"/>
                <w:numId w:val="1"/>
              </w:numPr>
              <w:tabs>
                <w:tab w:val="left" w:pos="265"/>
              </w:tabs>
              <w:spacing w:before="0" w:after="0" w:line="281" w:lineRule="exact"/>
              <w:ind w:left="264" w:right="0" w:hanging="158"/>
              <w:jc w:val="left"/>
              <w:rPr>
                <w:rFonts w:hint="eastAsia" w:ascii="黑体" w:hAnsi="黑体" w:eastAsia="黑体" w:cs="黑体"/>
                <w:sz w:val="21"/>
              </w:rPr>
            </w:pPr>
            <w:r>
              <w:rPr>
                <w:rFonts w:hint="eastAsia" w:ascii="黑体" w:hAnsi="黑体" w:eastAsia="黑体" w:cs="黑体"/>
                <w:spacing w:val="-7"/>
                <w:sz w:val="21"/>
              </w:rPr>
              <w:t>外来参观人员、学习人员和相关方人员入厂安全教育培训。</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7" w:hRule="atLeast"/>
        </w:trPr>
        <w:tc>
          <w:tcPr>
            <w:tcW w:w="824" w:type="dxa"/>
            <w:vMerge w:val="restart"/>
          </w:tcPr>
          <w:p>
            <w:pPr>
              <w:pStyle w:val="5"/>
              <w:spacing w:before="8"/>
              <w:rPr>
                <w:rFonts w:hint="eastAsia" w:ascii="黑体" w:hAnsi="黑体" w:eastAsia="黑体" w:cs="黑体"/>
                <w:sz w:val="32"/>
              </w:rPr>
            </w:pPr>
          </w:p>
          <w:p>
            <w:pPr>
              <w:pStyle w:val="5"/>
              <w:ind w:left="7"/>
              <w:jc w:val="center"/>
              <w:rPr>
                <w:rFonts w:hint="eastAsia" w:ascii="黑体" w:hAnsi="黑体" w:eastAsia="黑体" w:cs="黑体"/>
                <w:sz w:val="21"/>
              </w:rPr>
            </w:pPr>
            <w:r>
              <w:rPr>
                <w:rFonts w:hint="eastAsia" w:ascii="黑体" w:hAnsi="黑体" w:eastAsia="黑体" w:cs="黑体"/>
                <w:w w:val="99"/>
                <w:sz w:val="21"/>
              </w:rPr>
              <w:t>7</w:t>
            </w:r>
          </w:p>
        </w:tc>
        <w:tc>
          <w:tcPr>
            <w:tcW w:w="1426" w:type="dxa"/>
            <w:vMerge w:val="restart"/>
          </w:tcPr>
          <w:p>
            <w:pPr>
              <w:pStyle w:val="5"/>
              <w:spacing w:before="9"/>
              <w:rPr>
                <w:rFonts w:hint="eastAsia" w:ascii="黑体" w:hAnsi="黑体" w:eastAsia="黑体" w:cs="黑体"/>
                <w:sz w:val="17"/>
              </w:rPr>
            </w:pPr>
          </w:p>
          <w:p>
            <w:pPr>
              <w:pStyle w:val="5"/>
              <w:spacing w:line="213" w:lineRule="auto"/>
              <w:ind w:left="196" w:right="184"/>
              <w:jc w:val="center"/>
              <w:rPr>
                <w:rFonts w:hint="eastAsia" w:ascii="黑体" w:hAnsi="黑体" w:eastAsia="黑体" w:cs="黑体"/>
                <w:sz w:val="21"/>
              </w:rPr>
            </w:pPr>
            <w:r>
              <w:rPr>
                <w:rFonts w:hint="eastAsia" w:ascii="黑体" w:hAnsi="黑体" w:eastAsia="黑体" w:cs="黑体"/>
                <w:spacing w:val="-6"/>
                <w:sz w:val="21"/>
              </w:rPr>
              <w:t>职业健康及劳动防护用</w:t>
            </w:r>
            <w:r>
              <w:rPr>
                <w:rFonts w:hint="eastAsia" w:ascii="黑体" w:hAnsi="黑体" w:eastAsia="黑体" w:cs="黑体"/>
                <w:spacing w:val="-4"/>
                <w:sz w:val="21"/>
              </w:rPr>
              <w:t>品管理</w:t>
            </w:r>
          </w:p>
        </w:tc>
        <w:tc>
          <w:tcPr>
            <w:tcW w:w="1627" w:type="dxa"/>
            <w:vMerge w:val="restart"/>
          </w:tcPr>
          <w:p>
            <w:pPr>
              <w:pStyle w:val="5"/>
              <w:spacing w:before="11"/>
              <w:rPr>
                <w:rFonts w:hint="eastAsia" w:ascii="黑体" w:hAnsi="黑体" w:eastAsia="黑体" w:cs="黑体"/>
                <w:sz w:val="14"/>
              </w:rPr>
            </w:pPr>
          </w:p>
          <w:p>
            <w:pPr>
              <w:pStyle w:val="5"/>
              <w:ind w:left="400"/>
              <w:rPr>
                <w:rFonts w:hint="eastAsia" w:ascii="黑体" w:hAnsi="黑体" w:eastAsia="黑体" w:cs="黑体"/>
                <w:sz w:val="21"/>
              </w:rPr>
            </w:pPr>
            <w:r>
              <w:rPr>
                <w:rFonts w:hint="eastAsia" w:ascii="黑体" w:hAnsi="黑体" w:eastAsia="黑体" w:cs="黑体"/>
                <w:spacing w:val="-8"/>
                <w:sz w:val="21"/>
              </w:rPr>
              <w:t>职业健康</w:t>
            </w:r>
          </w:p>
        </w:tc>
        <w:tc>
          <w:tcPr>
            <w:tcW w:w="7703" w:type="dxa"/>
          </w:tcPr>
          <w:p>
            <w:pPr>
              <w:pStyle w:val="5"/>
              <w:spacing w:line="296" w:lineRule="exact"/>
              <w:ind w:left="107"/>
              <w:rPr>
                <w:rFonts w:hint="eastAsia" w:ascii="黑体" w:hAnsi="黑体" w:eastAsia="黑体" w:cs="黑体"/>
                <w:sz w:val="21"/>
              </w:rPr>
            </w:pPr>
            <w:r>
              <w:rPr>
                <w:rFonts w:hint="eastAsia" w:ascii="黑体" w:hAnsi="黑体" w:eastAsia="黑体" w:cs="黑体"/>
                <w:spacing w:val="-7"/>
                <w:sz w:val="21"/>
              </w:rPr>
              <w:t>企业对存在职业病危害的工作场所，定期开展职业病危害因素检测和现状评价。</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1" w:hRule="atLeast"/>
        </w:trPr>
        <w:tc>
          <w:tcPr>
            <w:tcW w:w="824" w:type="dxa"/>
            <w:vMerge w:val="continue"/>
            <w:tcBorders>
              <w:top w:val="nil"/>
            </w:tcBorders>
          </w:tcPr>
          <w:p>
            <w:pPr>
              <w:rPr>
                <w:rFonts w:hint="eastAsia" w:ascii="黑体" w:hAnsi="黑体" w:eastAsia="黑体" w:cs="黑体"/>
                <w:sz w:val="2"/>
                <w:szCs w:val="2"/>
              </w:rPr>
            </w:pPr>
          </w:p>
        </w:tc>
        <w:tc>
          <w:tcPr>
            <w:tcW w:w="1426" w:type="dxa"/>
            <w:vMerge w:val="continue"/>
            <w:tcBorders>
              <w:top w:val="nil"/>
            </w:tcBorders>
          </w:tcPr>
          <w:p>
            <w:pPr>
              <w:rPr>
                <w:rFonts w:hint="eastAsia" w:ascii="黑体" w:hAnsi="黑体" w:eastAsia="黑体" w:cs="黑体"/>
                <w:sz w:val="2"/>
                <w:szCs w:val="2"/>
              </w:rPr>
            </w:pPr>
          </w:p>
        </w:tc>
        <w:tc>
          <w:tcPr>
            <w:tcW w:w="1627" w:type="dxa"/>
            <w:vMerge w:val="continue"/>
            <w:tcBorders>
              <w:top w:val="nil"/>
            </w:tcBorders>
          </w:tcPr>
          <w:p>
            <w:pPr>
              <w:rPr>
                <w:rFonts w:hint="eastAsia" w:ascii="黑体" w:hAnsi="黑体" w:eastAsia="黑体" w:cs="黑体"/>
                <w:sz w:val="2"/>
                <w:szCs w:val="2"/>
              </w:rPr>
            </w:pPr>
          </w:p>
        </w:tc>
        <w:tc>
          <w:tcPr>
            <w:tcW w:w="7703" w:type="dxa"/>
          </w:tcPr>
          <w:p>
            <w:pPr>
              <w:pStyle w:val="5"/>
              <w:spacing w:before="18" w:line="211" w:lineRule="auto"/>
              <w:ind w:left="107" w:right="169"/>
              <w:rPr>
                <w:rFonts w:hint="eastAsia" w:ascii="黑体" w:hAnsi="黑体" w:eastAsia="黑体" w:cs="黑体"/>
                <w:sz w:val="21"/>
              </w:rPr>
            </w:pPr>
            <w:r>
              <w:rPr>
                <w:rFonts w:hint="eastAsia" w:ascii="黑体" w:hAnsi="黑体" w:eastAsia="黑体" w:cs="黑体"/>
                <w:spacing w:val="-6"/>
                <w:sz w:val="21"/>
              </w:rPr>
              <w:t>安排接触职业危害员工接受岗前、岗中、转岗、离岗等职业体检，体检结果书面如</w:t>
            </w:r>
            <w:r>
              <w:rPr>
                <w:rFonts w:hint="eastAsia" w:ascii="黑体" w:hAnsi="黑体" w:eastAsia="黑体" w:cs="黑体"/>
                <w:spacing w:val="-2"/>
                <w:sz w:val="21"/>
              </w:rPr>
              <w:t>实告知员工并存档。</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1" w:hRule="atLeast"/>
        </w:trPr>
        <w:tc>
          <w:tcPr>
            <w:tcW w:w="824" w:type="dxa"/>
            <w:vMerge w:val="continue"/>
            <w:tcBorders>
              <w:top w:val="nil"/>
            </w:tcBorders>
          </w:tcPr>
          <w:p>
            <w:pPr>
              <w:rPr>
                <w:rFonts w:hint="eastAsia" w:ascii="黑体" w:hAnsi="黑体" w:eastAsia="黑体" w:cs="黑体"/>
                <w:sz w:val="2"/>
                <w:szCs w:val="2"/>
              </w:rPr>
            </w:pPr>
          </w:p>
        </w:tc>
        <w:tc>
          <w:tcPr>
            <w:tcW w:w="1426" w:type="dxa"/>
            <w:vMerge w:val="continue"/>
            <w:tcBorders>
              <w:top w:val="nil"/>
            </w:tcBorders>
          </w:tcPr>
          <w:p>
            <w:pPr>
              <w:rPr>
                <w:rFonts w:hint="eastAsia" w:ascii="黑体" w:hAnsi="黑体" w:eastAsia="黑体" w:cs="黑体"/>
                <w:sz w:val="2"/>
                <w:szCs w:val="2"/>
              </w:rPr>
            </w:pPr>
          </w:p>
        </w:tc>
        <w:tc>
          <w:tcPr>
            <w:tcW w:w="1627" w:type="dxa"/>
          </w:tcPr>
          <w:p>
            <w:pPr>
              <w:pStyle w:val="5"/>
              <w:spacing w:before="14" w:line="213" w:lineRule="auto"/>
              <w:ind w:left="606" w:right="179" w:hanging="411"/>
              <w:rPr>
                <w:rFonts w:hint="eastAsia" w:ascii="黑体" w:hAnsi="黑体" w:eastAsia="黑体" w:cs="黑体"/>
                <w:sz w:val="21"/>
              </w:rPr>
            </w:pPr>
            <w:r>
              <w:rPr>
                <w:rFonts w:hint="eastAsia" w:ascii="黑体" w:hAnsi="黑体" w:eastAsia="黑体" w:cs="黑体"/>
                <w:spacing w:val="-6"/>
                <w:sz w:val="21"/>
              </w:rPr>
              <w:t>劳动防护用品管理</w:t>
            </w:r>
          </w:p>
        </w:tc>
        <w:tc>
          <w:tcPr>
            <w:tcW w:w="7703" w:type="dxa"/>
          </w:tcPr>
          <w:p>
            <w:pPr>
              <w:pStyle w:val="5"/>
              <w:spacing w:before="14" w:line="213" w:lineRule="auto"/>
              <w:ind w:left="107" w:right="169"/>
              <w:rPr>
                <w:rFonts w:hint="eastAsia" w:ascii="黑体" w:hAnsi="黑体" w:eastAsia="黑体" w:cs="黑体"/>
                <w:sz w:val="21"/>
              </w:rPr>
            </w:pPr>
            <w:r>
              <w:rPr>
                <w:rFonts w:hint="eastAsia" w:ascii="黑体" w:hAnsi="黑体" w:eastAsia="黑体" w:cs="黑体"/>
                <w:spacing w:val="-6"/>
                <w:sz w:val="21"/>
              </w:rPr>
              <w:t>为从业人员提供符合国家标准或行业标准的个体防护用品和器具，并监督、指导从</w:t>
            </w:r>
            <w:r>
              <w:rPr>
                <w:rFonts w:hint="eastAsia" w:ascii="黑体" w:hAnsi="黑体" w:eastAsia="黑体" w:cs="黑体"/>
                <w:spacing w:val="-2"/>
                <w:sz w:val="21"/>
              </w:rPr>
              <w:t>业人员按照有关规定正确佩戴、使用个体防护用品和器具。</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824" w:type="dxa"/>
            <w:vMerge w:val="restart"/>
          </w:tcPr>
          <w:p>
            <w:pPr>
              <w:pStyle w:val="5"/>
              <w:rPr>
                <w:rFonts w:hint="eastAsia" w:ascii="黑体" w:hAnsi="黑体" w:eastAsia="黑体" w:cs="黑体"/>
                <w:sz w:val="22"/>
              </w:rPr>
            </w:pPr>
          </w:p>
          <w:p>
            <w:pPr>
              <w:pStyle w:val="5"/>
              <w:rPr>
                <w:rFonts w:hint="eastAsia" w:ascii="黑体" w:hAnsi="黑体" w:eastAsia="黑体" w:cs="黑体"/>
                <w:sz w:val="22"/>
              </w:rPr>
            </w:pPr>
          </w:p>
          <w:p>
            <w:pPr>
              <w:pStyle w:val="5"/>
              <w:spacing w:before="9"/>
              <w:rPr>
                <w:rFonts w:hint="eastAsia" w:ascii="黑体" w:hAnsi="黑体" w:eastAsia="黑体" w:cs="黑体"/>
                <w:sz w:val="25"/>
              </w:rPr>
            </w:pPr>
          </w:p>
          <w:p>
            <w:pPr>
              <w:pStyle w:val="5"/>
              <w:spacing w:before="1"/>
              <w:ind w:left="7"/>
              <w:jc w:val="center"/>
              <w:rPr>
                <w:rFonts w:hint="eastAsia" w:ascii="黑体" w:hAnsi="黑体" w:eastAsia="黑体" w:cs="黑体"/>
                <w:sz w:val="21"/>
              </w:rPr>
            </w:pPr>
            <w:r>
              <w:rPr>
                <w:rFonts w:hint="eastAsia" w:ascii="黑体" w:hAnsi="黑体" w:eastAsia="黑体" w:cs="黑体"/>
                <w:w w:val="99"/>
                <w:sz w:val="21"/>
              </w:rPr>
              <w:t>8</w:t>
            </w:r>
          </w:p>
        </w:tc>
        <w:tc>
          <w:tcPr>
            <w:tcW w:w="1426" w:type="dxa"/>
            <w:vMerge w:val="restart"/>
          </w:tcPr>
          <w:p>
            <w:pPr>
              <w:pStyle w:val="5"/>
              <w:rPr>
                <w:rFonts w:hint="eastAsia" w:ascii="黑体" w:hAnsi="黑体" w:eastAsia="黑体" w:cs="黑体"/>
                <w:sz w:val="20"/>
              </w:rPr>
            </w:pPr>
          </w:p>
          <w:p>
            <w:pPr>
              <w:pStyle w:val="5"/>
              <w:rPr>
                <w:rFonts w:hint="eastAsia" w:ascii="黑体" w:hAnsi="黑体" w:eastAsia="黑体" w:cs="黑体"/>
                <w:sz w:val="20"/>
              </w:rPr>
            </w:pPr>
          </w:p>
          <w:p>
            <w:pPr>
              <w:pStyle w:val="5"/>
              <w:spacing w:before="12"/>
              <w:rPr>
                <w:rFonts w:hint="eastAsia" w:ascii="黑体" w:hAnsi="黑体" w:eastAsia="黑体" w:cs="黑体"/>
                <w:sz w:val="21"/>
              </w:rPr>
            </w:pPr>
          </w:p>
          <w:p>
            <w:pPr>
              <w:pStyle w:val="5"/>
              <w:spacing w:line="211" w:lineRule="auto"/>
              <w:ind w:left="403" w:right="184" w:hanging="207"/>
              <w:rPr>
                <w:rFonts w:hint="eastAsia" w:ascii="黑体" w:hAnsi="黑体" w:eastAsia="黑体" w:cs="黑体"/>
                <w:sz w:val="21"/>
              </w:rPr>
            </w:pPr>
            <w:r>
              <w:rPr>
                <w:rFonts w:hint="eastAsia" w:ascii="黑体" w:hAnsi="黑体" w:eastAsia="黑体" w:cs="黑体"/>
                <w:spacing w:val="-6"/>
                <w:sz w:val="21"/>
              </w:rPr>
              <w:t>安全风险分</w:t>
            </w:r>
            <w:r>
              <w:rPr>
                <w:rFonts w:hint="eastAsia" w:ascii="黑体" w:hAnsi="黑体" w:eastAsia="黑体" w:cs="黑体"/>
                <w:spacing w:val="-4"/>
                <w:sz w:val="21"/>
              </w:rPr>
              <w:t>级管控</w:t>
            </w:r>
          </w:p>
        </w:tc>
        <w:tc>
          <w:tcPr>
            <w:tcW w:w="1627" w:type="dxa"/>
            <w:vMerge w:val="restart"/>
          </w:tcPr>
          <w:p>
            <w:pPr>
              <w:pStyle w:val="5"/>
              <w:spacing w:before="7"/>
              <w:rPr>
                <w:rFonts w:hint="eastAsia" w:ascii="黑体" w:hAnsi="黑体" w:eastAsia="黑体" w:cs="黑体"/>
                <w:sz w:val="21"/>
              </w:rPr>
            </w:pPr>
          </w:p>
          <w:p>
            <w:pPr>
              <w:pStyle w:val="5"/>
              <w:ind w:left="299"/>
              <w:rPr>
                <w:rFonts w:hint="eastAsia" w:ascii="黑体" w:hAnsi="黑体" w:eastAsia="黑体" w:cs="黑体"/>
                <w:sz w:val="21"/>
              </w:rPr>
            </w:pPr>
            <w:r>
              <w:rPr>
                <w:rFonts w:hint="eastAsia" w:ascii="黑体" w:hAnsi="黑体" w:eastAsia="黑体" w:cs="黑体"/>
                <w:spacing w:val="-7"/>
                <w:sz w:val="21"/>
              </w:rPr>
              <w:t>危险源管控</w:t>
            </w:r>
          </w:p>
        </w:tc>
        <w:tc>
          <w:tcPr>
            <w:tcW w:w="7703" w:type="dxa"/>
          </w:tcPr>
          <w:p>
            <w:pPr>
              <w:pStyle w:val="5"/>
              <w:spacing w:before="18" w:line="211" w:lineRule="auto"/>
              <w:ind w:left="107" w:right="169"/>
              <w:rPr>
                <w:rFonts w:hint="eastAsia" w:ascii="黑体" w:hAnsi="黑体" w:eastAsia="黑体" w:cs="黑体"/>
                <w:sz w:val="21"/>
              </w:rPr>
            </w:pPr>
            <w:r>
              <w:rPr>
                <w:rFonts w:hint="eastAsia" w:ascii="黑体" w:hAnsi="黑体" w:eastAsia="黑体" w:cs="黑体"/>
                <w:spacing w:val="-6"/>
                <w:sz w:val="21"/>
              </w:rPr>
              <w:t>定期组织开展危险源辨识与评价，对作业活动和设备设施进行危险、有害因素识别</w:t>
            </w:r>
            <w:r>
              <w:rPr>
                <w:rFonts w:hint="eastAsia" w:ascii="黑体" w:hAnsi="黑体" w:eastAsia="黑体" w:cs="黑体"/>
                <w:spacing w:val="-2"/>
                <w:sz w:val="21"/>
              </w:rPr>
              <w:t>和风险评价，制定落实控制措施，并告知相关从业人员。</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1" w:hRule="atLeast"/>
        </w:trPr>
        <w:tc>
          <w:tcPr>
            <w:tcW w:w="824" w:type="dxa"/>
            <w:vMerge w:val="continue"/>
            <w:tcBorders>
              <w:top w:val="nil"/>
            </w:tcBorders>
          </w:tcPr>
          <w:p>
            <w:pPr>
              <w:rPr>
                <w:rFonts w:hint="eastAsia" w:ascii="黑体" w:hAnsi="黑体" w:eastAsia="黑体" w:cs="黑体"/>
                <w:sz w:val="2"/>
                <w:szCs w:val="2"/>
              </w:rPr>
            </w:pPr>
          </w:p>
        </w:tc>
        <w:tc>
          <w:tcPr>
            <w:tcW w:w="1426" w:type="dxa"/>
            <w:vMerge w:val="continue"/>
            <w:tcBorders>
              <w:top w:val="nil"/>
            </w:tcBorders>
          </w:tcPr>
          <w:p>
            <w:pPr>
              <w:rPr>
                <w:rFonts w:hint="eastAsia" w:ascii="黑体" w:hAnsi="黑体" w:eastAsia="黑体" w:cs="黑体"/>
                <w:sz w:val="2"/>
                <w:szCs w:val="2"/>
              </w:rPr>
            </w:pPr>
          </w:p>
        </w:tc>
        <w:tc>
          <w:tcPr>
            <w:tcW w:w="1627" w:type="dxa"/>
            <w:vMerge w:val="continue"/>
            <w:tcBorders>
              <w:top w:val="nil"/>
            </w:tcBorders>
          </w:tcPr>
          <w:p>
            <w:pPr>
              <w:rPr>
                <w:rFonts w:hint="eastAsia" w:ascii="黑体" w:hAnsi="黑体" w:eastAsia="黑体" w:cs="黑体"/>
                <w:sz w:val="2"/>
                <w:szCs w:val="2"/>
              </w:rPr>
            </w:pPr>
          </w:p>
        </w:tc>
        <w:tc>
          <w:tcPr>
            <w:tcW w:w="7703" w:type="dxa"/>
          </w:tcPr>
          <w:p>
            <w:pPr>
              <w:pStyle w:val="5"/>
              <w:spacing w:before="15" w:line="213" w:lineRule="auto"/>
              <w:ind w:left="107" w:right="169"/>
              <w:rPr>
                <w:rFonts w:hint="eastAsia" w:ascii="黑体" w:hAnsi="黑体" w:eastAsia="黑体" w:cs="黑体"/>
                <w:sz w:val="21"/>
              </w:rPr>
            </w:pPr>
            <w:r>
              <w:rPr>
                <w:rFonts w:hint="eastAsia" w:ascii="黑体" w:hAnsi="黑体" w:eastAsia="黑体" w:cs="黑体"/>
                <w:spacing w:val="-6"/>
                <w:sz w:val="21"/>
              </w:rPr>
              <w:t>在具有较大危险因素的生产经营场所、设施、设备及其四周，设置明显的安全警示</w:t>
            </w:r>
            <w:r>
              <w:rPr>
                <w:rFonts w:hint="eastAsia" w:ascii="黑体" w:hAnsi="黑体" w:eastAsia="黑体" w:cs="黑体"/>
                <w:spacing w:val="-4"/>
                <w:sz w:val="21"/>
              </w:rPr>
              <w:t>标志。</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824" w:type="dxa"/>
            <w:vMerge w:val="continue"/>
            <w:tcBorders>
              <w:top w:val="nil"/>
            </w:tcBorders>
          </w:tcPr>
          <w:p>
            <w:pPr>
              <w:rPr>
                <w:rFonts w:hint="eastAsia" w:ascii="黑体" w:hAnsi="黑体" w:eastAsia="黑体" w:cs="黑体"/>
                <w:sz w:val="2"/>
                <w:szCs w:val="2"/>
              </w:rPr>
            </w:pPr>
          </w:p>
        </w:tc>
        <w:tc>
          <w:tcPr>
            <w:tcW w:w="1426" w:type="dxa"/>
            <w:vMerge w:val="continue"/>
            <w:tcBorders>
              <w:top w:val="nil"/>
            </w:tcBorders>
          </w:tcPr>
          <w:p>
            <w:pPr>
              <w:rPr>
                <w:rFonts w:hint="eastAsia" w:ascii="黑体" w:hAnsi="黑体" w:eastAsia="黑体" w:cs="黑体"/>
                <w:sz w:val="2"/>
                <w:szCs w:val="2"/>
              </w:rPr>
            </w:pPr>
          </w:p>
        </w:tc>
        <w:tc>
          <w:tcPr>
            <w:tcW w:w="1627" w:type="dxa"/>
          </w:tcPr>
          <w:p>
            <w:pPr>
              <w:pStyle w:val="5"/>
              <w:spacing w:before="19" w:line="211" w:lineRule="auto"/>
              <w:ind w:left="710" w:right="179" w:hanging="514"/>
              <w:rPr>
                <w:rFonts w:hint="eastAsia" w:ascii="黑体" w:hAnsi="黑体" w:eastAsia="黑体" w:cs="黑体"/>
                <w:sz w:val="21"/>
              </w:rPr>
            </w:pPr>
            <w:r>
              <w:rPr>
                <w:rFonts w:hint="eastAsia" w:ascii="黑体" w:hAnsi="黑体" w:eastAsia="黑体" w:cs="黑体"/>
                <w:spacing w:val="-6"/>
                <w:sz w:val="21"/>
              </w:rPr>
              <w:t>重大危险源管</w:t>
            </w:r>
            <w:r>
              <w:rPr>
                <w:rFonts w:hint="eastAsia" w:ascii="黑体" w:hAnsi="黑体" w:eastAsia="黑体" w:cs="黑体"/>
                <w:spacing w:val="-10"/>
                <w:sz w:val="21"/>
              </w:rPr>
              <w:t>理</w:t>
            </w:r>
          </w:p>
        </w:tc>
        <w:tc>
          <w:tcPr>
            <w:tcW w:w="7703" w:type="dxa"/>
          </w:tcPr>
          <w:p>
            <w:pPr>
              <w:pStyle w:val="5"/>
              <w:spacing w:before="19" w:line="211" w:lineRule="auto"/>
              <w:ind w:left="107" w:right="169"/>
              <w:rPr>
                <w:rFonts w:hint="eastAsia" w:ascii="黑体" w:hAnsi="黑体" w:eastAsia="黑体" w:cs="黑体"/>
                <w:sz w:val="21"/>
              </w:rPr>
            </w:pPr>
            <w:r>
              <w:rPr>
                <w:rFonts w:hint="eastAsia" w:ascii="黑体" w:hAnsi="黑体" w:eastAsia="黑体" w:cs="黑体"/>
                <w:spacing w:val="-6"/>
                <w:sz w:val="21"/>
              </w:rPr>
              <w:t>对重大危险源建立管理档案，定期检测、评估、监控，将重大危险源及相关安全措</w:t>
            </w:r>
            <w:r>
              <w:rPr>
                <w:rFonts w:hint="eastAsia" w:ascii="黑体" w:hAnsi="黑体" w:eastAsia="黑体" w:cs="黑体"/>
                <w:spacing w:val="-2"/>
                <w:sz w:val="21"/>
              </w:rPr>
              <w:t>施、应急预案报送政府有关部门备案。</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3" w:hRule="atLeast"/>
        </w:trPr>
        <w:tc>
          <w:tcPr>
            <w:tcW w:w="824" w:type="dxa"/>
            <w:vMerge w:val="continue"/>
            <w:tcBorders>
              <w:top w:val="nil"/>
            </w:tcBorders>
          </w:tcPr>
          <w:p>
            <w:pPr>
              <w:rPr>
                <w:rFonts w:hint="eastAsia" w:ascii="黑体" w:hAnsi="黑体" w:eastAsia="黑体" w:cs="黑体"/>
                <w:sz w:val="2"/>
                <w:szCs w:val="2"/>
              </w:rPr>
            </w:pPr>
          </w:p>
        </w:tc>
        <w:tc>
          <w:tcPr>
            <w:tcW w:w="1426" w:type="dxa"/>
            <w:vMerge w:val="continue"/>
            <w:tcBorders>
              <w:top w:val="nil"/>
            </w:tcBorders>
          </w:tcPr>
          <w:p>
            <w:pPr>
              <w:rPr>
                <w:rFonts w:hint="eastAsia" w:ascii="黑体" w:hAnsi="黑体" w:eastAsia="黑体" w:cs="黑体"/>
                <w:sz w:val="2"/>
                <w:szCs w:val="2"/>
              </w:rPr>
            </w:pPr>
          </w:p>
        </w:tc>
        <w:tc>
          <w:tcPr>
            <w:tcW w:w="1627" w:type="dxa"/>
            <w:vMerge w:val="restart"/>
          </w:tcPr>
          <w:p>
            <w:pPr>
              <w:pStyle w:val="5"/>
              <w:spacing w:before="6"/>
              <w:rPr>
                <w:rFonts w:hint="eastAsia" w:ascii="黑体" w:hAnsi="黑体" w:eastAsia="黑体" w:cs="黑体"/>
                <w:sz w:val="21"/>
              </w:rPr>
            </w:pPr>
          </w:p>
          <w:p>
            <w:pPr>
              <w:pStyle w:val="5"/>
              <w:ind w:left="196"/>
              <w:rPr>
                <w:rFonts w:hint="eastAsia" w:ascii="黑体" w:hAnsi="黑体" w:eastAsia="黑体" w:cs="黑体"/>
                <w:sz w:val="21"/>
              </w:rPr>
            </w:pPr>
            <w:r>
              <w:rPr>
                <w:rFonts w:hint="eastAsia" w:ascii="黑体" w:hAnsi="黑体" w:eastAsia="黑体" w:cs="黑体"/>
                <w:spacing w:val="-7"/>
                <w:sz w:val="21"/>
              </w:rPr>
              <w:t>消防安全管理</w:t>
            </w:r>
          </w:p>
        </w:tc>
        <w:tc>
          <w:tcPr>
            <w:tcW w:w="7703" w:type="dxa"/>
          </w:tcPr>
          <w:p>
            <w:pPr>
              <w:pStyle w:val="5"/>
              <w:spacing w:before="15" w:line="213" w:lineRule="auto"/>
              <w:ind w:left="107" w:right="94"/>
              <w:jc w:val="both"/>
              <w:rPr>
                <w:rFonts w:hint="eastAsia" w:ascii="黑体" w:hAnsi="黑体" w:eastAsia="黑体" w:cs="黑体"/>
                <w:sz w:val="21"/>
              </w:rPr>
            </w:pPr>
            <w:r>
              <w:rPr>
                <w:rFonts w:hint="eastAsia" w:ascii="黑体" w:hAnsi="黑体" w:eastAsia="黑体" w:cs="黑体"/>
                <w:spacing w:val="-6"/>
                <w:sz w:val="21"/>
              </w:rPr>
              <w:t>生产经营场所、场站消防档案齐全（如消防验收文件、维保记录等</w:t>
            </w:r>
            <w:r>
              <w:rPr>
                <w:rFonts w:hint="eastAsia" w:ascii="黑体" w:hAnsi="黑体" w:eastAsia="黑体" w:cs="黑体"/>
                <w:spacing w:val="-60"/>
                <w:sz w:val="21"/>
              </w:rPr>
              <w:t>）</w:t>
            </w:r>
            <w:r>
              <w:rPr>
                <w:rFonts w:hint="eastAsia" w:ascii="黑体" w:hAnsi="黑体" w:eastAsia="黑体" w:cs="黑体"/>
                <w:spacing w:val="-15"/>
                <w:sz w:val="21"/>
              </w:rPr>
              <w:t>；建立消防设施</w:t>
            </w:r>
            <w:r>
              <w:rPr>
                <w:rFonts w:hint="eastAsia" w:ascii="黑体" w:hAnsi="黑体" w:eastAsia="黑体" w:cs="黑体"/>
                <w:spacing w:val="-4"/>
                <w:sz w:val="21"/>
              </w:rPr>
              <w:t>与器材台账，定期对消防设施实施检查、测试、检验、维护保养等；做好消防教育</w:t>
            </w:r>
            <w:r>
              <w:rPr>
                <w:rFonts w:hint="eastAsia" w:ascii="黑体" w:hAnsi="黑体" w:eastAsia="黑体" w:cs="黑体"/>
                <w:spacing w:val="-2"/>
                <w:sz w:val="21"/>
              </w:rPr>
              <w:t>培训工作。</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6" w:hRule="atLeast"/>
        </w:trPr>
        <w:tc>
          <w:tcPr>
            <w:tcW w:w="824" w:type="dxa"/>
            <w:vMerge w:val="continue"/>
            <w:tcBorders>
              <w:top w:val="nil"/>
            </w:tcBorders>
          </w:tcPr>
          <w:p>
            <w:pPr>
              <w:rPr>
                <w:rFonts w:hint="eastAsia" w:ascii="黑体" w:hAnsi="黑体" w:eastAsia="黑体" w:cs="黑体"/>
                <w:sz w:val="2"/>
                <w:szCs w:val="2"/>
              </w:rPr>
            </w:pPr>
          </w:p>
        </w:tc>
        <w:tc>
          <w:tcPr>
            <w:tcW w:w="1426" w:type="dxa"/>
            <w:vMerge w:val="continue"/>
            <w:tcBorders>
              <w:top w:val="nil"/>
            </w:tcBorders>
          </w:tcPr>
          <w:p>
            <w:pPr>
              <w:rPr>
                <w:rFonts w:hint="eastAsia" w:ascii="黑体" w:hAnsi="黑体" w:eastAsia="黑体" w:cs="黑体"/>
                <w:sz w:val="2"/>
                <w:szCs w:val="2"/>
              </w:rPr>
            </w:pPr>
          </w:p>
        </w:tc>
        <w:tc>
          <w:tcPr>
            <w:tcW w:w="1627" w:type="dxa"/>
            <w:vMerge w:val="continue"/>
            <w:tcBorders>
              <w:top w:val="nil"/>
            </w:tcBorders>
          </w:tcPr>
          <w:p>
            <w:pPr>
              <w:rPr>
                <w:rFonts w:hint="eastAsia" w:ascii="黑体" w:hAnsi="黑体" w:eastAsia="黑体" w:cs="黑体"/>
                <w:sz w:val="2"/>
                <w:szCs w:val="2"/>
              </w:rPr>
            </w:pPr>
          </w:p>
        </w:tc>
        <w:tc>
          <w:tcPr>
            <w:tcW w:w="7703" w:type="dxa"/>
          </w:tcPr>
          <w:p>
            <w:pPr>
              <w:pStyle w:val="5"/>
              <w:spacing w:line="295" w:lineRule="exact"/>
              <w:ind w:left="107"/>
              <w:rPr>
                <w:rFonts w:hint="eastAsia" w:ascii="黑体" w:hAnsi="黑体" w:eastAsia="黑体" w:cs="黑体"/>
                <w:sz w:val="21"/>
              </w:rPr>
            </w:pPr>
            <w:r>
              <w:rPr>
                <w:rFonts w:hint="eastAsia" w:ascii="黑体" w:hAnsi="黑体" w:eastAsia="黑体" w:cs="黑体"/>
                <w:spacing w:val="-7"/>
                <w:sz w:val="21"/>
              </w:rPr>
              <w:t>按照要求定期组织开展消防演练。</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bl>
    <w:p>
      <w:pPr>
        <w:spacing w:after="0"/>
        <w:rPr>
          <w:rFonts w:hint="eastAsia" w:ascii="黑体" w:hAnsi="黑体" w:eastAsia="黑体" w:cs="黑体"/>
          <w:sz w:val="20"/>
        </w:rPr>
        <w:sectPr>
          <w:pgSz w:w="16840" w:h="11910" w:orient="landscape"/>
          <w:pgMar w:top="1340" w:right="920" w:bottom="1840" w:left="920" w:header="0" w:footer="1654" w:gutter="0"/>
          <w:cols w:space="720" w:num="1"/>
        </w:sectPr>
      </w:pPr>
    </w:p>
    <w:p>
      <w:pPr>
        <w:pStyle w:val="2"/>
        <w:rPr>
          <w:rFonts w:hint="eastAsia" w:ascii="黑体" w:hAnsi="黑体" w:eastAsia="黑体" w:cs="黑体"/>
          <w:sz w:val="12"/>
        </w:rPr>
      </w:pPr>
    </w:p>
    <w:tbl>
      <w:tblPr>
        <w:tblStyle w:val="3"/>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1426"/>
        <w:gridCol w:w="1627"/>
        <w:gridCol w:w="7703"/>
        <w:gridCol w:w="1842"/>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6" w:hRule="atLeast"/>
        </w:trPr>
        <w:tc>
          <w:tcPr>
            <w:tcW w:w="824" w:type="dxa"/>
            <w:vMerge w:val="restart"/>
          </w:tcPr>
          <w:p>
            <w:pPr>
              <w:pStyle w:val="5"/>
              <w:spacing w:before="10"/>
              <w:rPr>
                <w:rFonts w:hint="eastAsia" w:ascii="黑体" w:hAnsi="黑体" w:eastAsia="黑体" w:cs="黑体"/>
                <w:sz w:val="22"/>
              </w:rPr>
            </w:pPr>
          </w:p>
          <w:p>
            <w:pPr>
              <w:pStyle w:val="5"/>
              <w:spacing w:before="1"/>
              <w:ind w:left="204"/>
              <w:rPr>
                <w:rFonts w:hint="eastAsia" w:ascii="黑体" w:hAnsi="黑体" w:eastAsia="黑体" w:cs="黑体"/>
                <w:sz w:val="21"/>
              </w:rPr>
            </w:pPr>
            <w:r>
              <w:rPr>
                <w:rFonts w:hint="eastAsia" w:ascii="黑体" w:hAnsi="黑体" w:eastAsia="黑体" w:cs="黑体"/>
                <w:spacing w:val="-9"/>
                <w:sz w:val="21"/>
              </w:rPr>
              <w:t>序号</w:t>
            </w:r>
          </w:p>
        </w:tc>
        <w:tc>
          <w:tcPr>
            <w:tcW w:w="3053" w:type="dxa"/>
            <w:gridSpan w:val="2"/>
          </w:tcPr>
          <w:p>
            <w:pPr>
              <w:pStyle w:val="5"/>
              <w:spacing w:line="336" w:lineRule="exact"/>
              <w:ind w:left="1102" w:right="1092"/>
              <w:jc w:val="center"/>
              <w:rPr>
                <w:rFonts w:hint="eastAsia" w:ascii="黑体" w:hAnsi="黑体" w:eastAsia="黑体" w:cs="黑体"/>
                <w:sz w:val="21"/>
              </w:rPr>
            </w:pPr>
            <w:r>
              <w:rPr>
                <w:rFonts w:hint="eastAsia" w:ascii="黑体" w:hAnsi="黑体" w:eastAsia="黑体" w:cs="黑体"/>
                <w:spacing w:val="-8"/>
                <w:sz w:val="21"/>
              </w:rPr>
              <w:t>检查项目</w:t>
            </w:r>
          </w:p>
        </w:tc>
        <w:tc>
          <w:tcPr>
            <w:tcW w:w="7703" w:type="dxa"/>
            <w:vMerge w:val="restart"/>
          </w:tcPr>
          <w:p>
            <w:pPr>
              <w:pStyle w:val="5"/>
              <w:spacing w:before="10"/>
              <w:rPr>
                <w:rFonts w:hint="eastAsia" w:ascii="黑体" w:hAnsi="黑体" w:eastAsia="黑体" w:cs="黑体"/>
                <w:sz w:val="22"/>
              </w:rPr>
            </w:pPr>
          </w:p>
          <w:p>
            <w:pPr>
              <w:pStyle w:val="5"/>
              <w:spacing w:before="1"/>
              <w:ind w:left="3428" w:right="3417"/>
              <w:jc w:val="center"/>
              <w:rPr>
                <w:rFonts w:hint="eastAsia" w:ascii="黑体" w:hAnsi="黑体" w:eastAsia="黑体" w:cs="黑体"/>
                <w:sz w:val="21"/>
              </w:rPr>
            </w:pPr>
            <w:r>
              <w:rPr>
                <w:rFonts w:hint="eastAsia" w:ascii="黑体" w:hAnsi="黑体" w:eastAsia="黑体" w:cs="黑体"/>
                <w:spacing w:val="-8"/>
                <w:sz w:val="21"/>
              </w:rPr>
              <w:t>检查清单</w:t>
            </w:r>
          </w:p>
        </w:tc>
        <w:tc>
          <w:tcPr>
            <w:tcW w:w="1842" w:type="dxa"/>
            <w:vMerge w:val="restart"/>
          </w:tcPr>
          <w:p>
            <w:pPr>
              <w:pStyle w:val="5"/>
              <w:spacing w:line="305" w:lineRule="exact"/>
              <w:ind w:left="194" w:right="184"/>
              <w:jc w:val="center"/>
              <w:rPr>
                <w:rFonts w:hint="eastAsia" w:ascii="黑体" w:hAnsi="黑体" w:eastAsia="黑体" w:cs="黑体"/>
                <w:sz w:val="21"/>
              </w:rPr>
            </w:pPr>
            <w:r>
              <w:rPr>
                <w:rFonts w:hint="eastAsia" w:ascii="黑体" w:hAnsi="黑体" w:eastAsia="黑体" w:cs="黑体"/>
                <w:spacing w:val="-8"/>
                <w:sz w:val="21"/>
              </w:rPr>
              <w:t>责任人</w:t>
            </w:r>
          </w:p>
          <w:p>
            <w:pPr>
              <w:pStyle w:val="5"/>
              <w:spacing w:before="25" w:line="204" w:lineRule="auto"/>
              <w:ind w:left="200" w:right="184"/>
              <w:jc w:val="center"/>
              <w:rPr>
                <w:rFonts w:hint="eastAsia" w:ascii="黑体" w:hAnsi="黑体" w:eastAsia="黑体" w:cs="黑体"/>
                <w:sz w:val="21"/>
              </w:rPr>
            </w:pPr>
            <w:r>
              <w:rPr>
                <w:rFonts w:hint="eastAsia" w:ascii="黑体" w:hAnsi="黑体" w:eastAsia="黑体" w:cs="黑体"/>
                <w:spacing w:val="-6"/>
                <w:sz w:val="21"/>
              </w:rPr>
              <w:t>（明确到各岗位一线操作者具体</w:t>
            </w:r>
            <w:r>
              <w:rPr>
                <w:rFonts w:hint="eastAsia" w:ascii="黑体" w:hAnsi="黑体" w:eastAsia="黑体" w:cs="黑体"/>
                <w:spacing w:val="-4"/>
                <w:sz w:val="21"/>
              </w:rPr>
              <w:t>责任人）</w:t>
            </w:r>
          </w:p>
        </w:tc>
        <w:tc>
          <w:tcPr>
            <w:tcW w:w="1340" w:type="dxa"/>
            <w:vMerge w:val="restart"/>
          </w:tcPr>
          <w:p>
            <w:pPr>
              <w:pStyle w:val="5"/>
              <w:spacing w:before="164" w:line="289" w:lineRule="exact"/>
              <w:ind w:left="449" w:right="438"/>
              <w:jc w:val="center"/>
              <w:rPr>
                <w:rFonts w:hint="eastAsia" w:ascii="黑体" w:hAnsi="黑体" w:eastAsia="黑体" w:cs="黑体"/>
                <w:sz w:val="21"/>
              </w:rPr>
            </w:pPr>
            <w:r>
              <w:rPr>
                <w:rFonts w:hint="eastAsia" w:ascii="黑体" w:hAnsi="黑体" w:eastAsia="黑体" w:cs="黑体"/>
                <w:spacing w:val="-9"/>
                <w:sz w:val="21"/>
              </w:rPr>
              <w:t>备注</w:t>
            </w:r>
          </w:p>
          <w:p>
            <w:pPr>
              <w:pStyle w:val="5"/>
              <w:spacing w:before="9" w:line="213" w:lineRule="auto"/>
              <w:ind w:left="155" w:right="140"/>
              <w:jc w:val="both"/>
              <w:rPr>
                <w:rFonts w:hint="eastAsia" w:ascii="黑体" w:hAnsi="黑体" w:eastAsia="黑体" w:cs="黑体"/>
                <w:sz w:val="21"/>
              </w:rPr>
            </w:pPr>
            <w:r>
              <w:rPr>
                <w:rFonts w:hint="eastAsia" w:ascii="黑体" w:hAnsi="黑体" w:eastAsia="黑体" w:cs="黑体"/>
                <w:spacing w:val="-6"/>
                <w:sz w:val="21"/>
              </w:rPr>
              <w:t>（明确检查周期、抽查</w:t>
            </w:r>
            <w:r>
              <w:rPr>
                <w:rFonts w:hint="eastAsia" w:ascii="黑体" w:hAnsi="黑体" w:eastAsia="黑体" w:cs="黑体"/>
                <w:spacing w:val="-4"/>
                <w:sz w:val="21"/>
              </w:rPr>
              <w:t>比例等）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1" w:hRule="atLeast"/>
        </w:trPr>
        <w:tc>
          <w:tcPr>
            <w:tcW w:w="824" w:type="dxa"/>
            <w:vMerge w:val="continue"/>
            <w:tcBorders>
              <w:top w:val="nil"/>
            </w:tcBorders>
          </w:tcPr>
          <w:p>
            <w:pPr>
              <w:rPr>
                <w:rFonts w:hint="eastAsia" w:ascii="黑体" w:hAnsi="黑体" w:eastAsia="黑体" w:cs="黑体"/>
                <w:sz w:val="2"/>
                <w:szCs w:val="2"/>
              </w:rPr>
            </w:pPr>
          </w:p>
        </w:tc>
        <w:tc>
          <w:tcPr>
            <w:tcW w:w="1426" w:type="dxa"/>
          </w:tcPr>
          <w:p>
            <w:pPr>
              <w:pStyle w:val="5"/>
              <w:spacing w:before="239"/>
              <w:ind w:left="300"/>
              <w:rPr>
                <w:rFonts w:hint="eastAsia" w:ascii="黑体" w:hAnsi="黑体" w:eastAsia="黑体" w:cs="黑体"/>
                <w:sz w:val="21"/>
              </w:rPr>
            </w:pPr>
            <w:r>
              <w:rPr>
                <w:rFonts w:hint="eastAsia" w:ascii="黑体" w:hAnsi="黑体" w:eastAsia="黑体" w:cs="黑体"/>
                <w:spacing w:val="-8"/>
                <w:sz w:val="21"/>
              </w:rPr>
              <w:t>一级要素</w:t>
            </w:r>
          </w:p>
        </w:tc>
        <w:tc>
          <w:tcPr>
            <w:tcW w:w="1627" w:type="dxa"/>
          </w:tcPr>
          <w:p>
            <w:pPr>
              <w:pStyle w:val="5"/>
              <w:spacing w:before="239"/>
              <w:ind w:left="400"/>
              <w:rPr>
                <w:rFonts w:hint="eastAsia" w:ascii="黑体" w:hAnsi="黑体" w:eastAsia="黑体" w:cs="黑体"/>
                <w:sz w:val="21"/>
              </w:rPr>
            </w:pPr>
            <w:r>
              <w:rPr>
                <w:rFonts w:hint="eastAsia" w:ascii="黑体" w:hAnsi="黑体" w:eastAsia="黑体" w:cs="黑体"/>
                <w:spacing w:val="-8"/>
                <w:sz w:val="21"/>
              </w:rPr>
              <w:t>二级要素</w:t>
            </w:r>
          </w:p>
        </w:tc>
        <w:tc>
          <w:tcPr>
            <w:tcW w:w="7703" w:type="dxa"/>
            <w:vMerge w:val="continue"/>
            <w:tcBorders>
              <w:top w:val="nil"/>
            </w:tcBorders>
          </w:tcPr>
          <w:p>
            <w:pPr>
              <w:rPr>
                <w:rFonts w:hint="eastAsia" w:ascii="黑体" w:hAnsi="黑体" w:eastAsia="黑体" w:cs="黑体"/>
                <w:sz w:val="2"/>
                <w:szCs w:val="2"/>
              </w:rPr>
            </w:pPr>
          </w:p>
        </w:tc>
        <w:tc>
          <w:tcPr>
            <w:tcW w:w="1842" w:type="dxa"/>
            <w:vMerge w:val="continue"/>
            <w:tcBorders>
              <w:top w:val="nil"/>
            </w:tcBorders>
          </w:tcPr>
          <w:p>
            <w:pPr>
              <w:rPr>
                <w:rFonts w:hint="eastAsia" w:ascii="黑体" w:hAnsi="黑体" w:eastAsia="黑体" w:cs="黑体"/>
                <w:sz w:val="2"/>
                <w:szCs w:val="2"/>
              </w:rPr>
            </w:pPr>
          </w:p>
        </w:tc>
        <w:tc>
          <w:tcPr>
            <w:tcW w:w="1340" w:type="dxa"/>
            <w:vMerge w:val="continue"/>
            <w:tcBorders>
              <w:top w:val="nil"/>
            </w:tcBorders>
          </w:tcPr>
          <w:p>
            <w:pPr>
              <w:rPr>
                <w:rFonts w:hint="eastAsia" w:ascii="黑体" w:hAnsi="黑体" w:eastAsia="黑体" w:cs="黑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824" w:type="dxa"/>
            <w:vMerge w:val="restart"/>
          </w:tcPr>
          <w:p>
            <w:pPr>
              <w:pStyle w:val="5"/>
              <w:rPr>
                <w:rFonts w:hint="eastAsia" w:ascii="黑体" w:hAnsi="黑体" w:eastAsia="黑体" w:cs="黑体"/>
                <w:sz w:val="20"/>
              </w:rPr>
            </w:pPr>
          </w:p>
        </w:tc>
        <w:tc>
          <w:tcPr>
            <w:tcW w:w="1426" w:type="dxa"/>
            <w:vMerge w:val="restart"/>
          </w:tcPr>
          <w:p>
            <w:pPr>
              <w:pStyle w:val="5"/>
              <w:rPr>
                <w:rFonts w:hint="eastAsia" w:ascii="黑体" w:hAnsi="黑体" w:eastAsia="黑体" w:cs="黑体"/>
                <w:sz w:val="20"/>
              </w:rPr>
            </w:pPr>
          </w:p>
        </w:tc>
        <w:tc>
          <w:tcPr>
            <w:tcW w:w="1627" w:type="dxa"/>
            <w:vMerge w:val="restart"/>
          </w:tcPr>
          <w:p>
            <w:pPr>
              <w:pStyle w:val="5"/>
              <w:spacing w:before="5"/>
              <w:rPr>
                <w:rFonts w:hint="eastAsia" w:ascii="黑体" w:hAnsi="黑体" w:eastAsia="黑体" w:cs="黑体"/>
                <w:sz w:val="21"/>
              </w:rPr>
            </w:pPr>
          </w:p>
          <w:p>
            <w:pPr>
              <w:pStyle w:val="5"/>
              <w:ind w:left="196"/>
              <w:rPr>
                <w:rFonts w:hint="eastAsia" w:ascii="黑体" w:hAnsi="黑体" w:eastAsia="黑体" w:cs="黑体"/>
                <w:sz w:val="21"/>
              </w:rPr>
            </w:pPr>
            <w:r>
              <w:rPr>
                <w:rFonts w:hint="eastAsia" w:ascii="黑体" w:hAnsi="黑体" w:eastAsia="黑体" w:cs="黑体"/>
                <w:spacing w:val="-7"/>
                <w:sz w:val="21"/>
              </w:rPr>
              <w:t>燃气场站管理</w:t>
            </w:r>
          </w:p>
        </w:tc>
        <w:tc>
          <w:tcPr>
            <w:tcW w:w="7703" w:type="dxa"/>
          </w:tcPr>
          <w:p>
            <w:pPr>
              <w:pStyle w:val="5"/>
              <w:spacing w:before="14" w:line="213" w:lineRule="auto"/>
              <w:ind w:left="107" w:right="169"/>
              <w:rPr>
                <w:rFonts w:hint="eastAsia" w:ascii="黑体" w:hAnsi="黑体" w:eastAsia="黑体" w:cs="黑体"/>
                <w:sz w:val="21"/>
              </w:rPr>
            </w:pPr>
            <w:r>
              <w:rPr>
                <w:rFonts w:hint="eastAsia" w:ascii="黑体" w:hAnsi="黑体" w:eastAsia="黑体" w:cs="黑体"/>
                <w:spacing w:val="-6"/>
                <w:sz w:val="21"/>
              </w:rPr>
              <w:t>建立燃气场站设备设施档案；对设备设施进行经常性的检查、维护、保养；对特种</w:t>
            </w:r>
            <w:r>
              <w:rPr>
                <w:rFonts w:hint="eastAsia" w:ascii="黑体" w:hAnsi="黑体" w:eastAsia="黑体" w:cs="黑体"/>
                <w:spacing w:val="-2"/>
                <w:sz w:val="21"/>
              </w:rPr>
              <w:t>设备及安全附件进行定期校验、检修。</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824" w:type="dxa"/>
            <w:vMerge w:val="continue"/>
            <w:tcBorders>
              <w:top w:val="nil"/>
            </w:tcBorders>
          </w:tcPr>
          <w:p>
            <w:pPr>
              <w:rPr>
                <w:rFonts w:hint="eastAsia" w:ascii="黑体" w:hAnsi="黑体" w:eastAsia="黑体" w:cs="黑体"/>
                <w:sz w:val="2"/>
                <w:szCs w:val="2"/>
              </w:rPr>
            </w:pPr>
          </w:p>
        </w:tc>
        <w:tc>
          <w:tcPr>
            <w:tcW w:w="1426" w:type="dxa"/>
            <w:vMerge w:val="continue"/>
            <w:tcBorders>
              <w:top w:val="nil"/>
            </w:tcBorders>
          </w:tcPr>
          <w:p>
            <w:pPr>
              <w:rPr>
                <w:rFonts w:hint="eastAsia" w:ascii="黑体" w:hAnsi="黑体" w:eastAsia="黑体" w:cs="黑体"/>
                <w:sz w:val="2"/>
                <w:szCs w:val="2"/>
              </w:rPr>
            </w:pPr>
          </w:p>
        </w:tc>
        <w:tc>
          <w:tcPr>
            <w:tcW w:w="1627" w:type="dxa"/>
            <w:vMerge w:val="continue"/>
            <w:tcBorders>
              <w:top w:val="nil"/>
            </w:tcBorders>
          </w:tcPr>
          <w:p>
            <w:pPr>
              <w:rPr>
                <w:rFonts w:hint="eastAsia" w:ascii="黑体" w:hAnsi="黑体" w:eastAsia="黑体" w:cs="黑体"/>
                <w:sz w:val="2"/>
                <w:szCs w:val="2"/>
              </w:rPr>
            </w:pPr>
          </w:p>
        </w:tc>
        <w:tc>
          <w:tcPr>
            <w:tcW w:w="7703" w:type="dxa"/>
          </w:tcPr>
          <w:p>
            <w:pPr>
              <w:pStyle w:val="5"/>
              <w:spacing w:before="17" w:line="211" w:lineRule="auto"/>
              <w:ind w:left="107" w:right="169"/>
              <w:rPr>
                <w:rFonts w:hint="eastAsia" w:ascii="黑体" w:hAnsi="黑体" w:eastAsia="黑体" w:cs="黑体"/>
                <w:sz w:val="21"/>
              </w:rPr>
            </w:pPr>
            <w:r>
              <w:rPr>
                <w:rFonts w:hint="eastAsia" w:ascii="黑体" w:hAnsi="黑体" w:eastAsia="黑体" w:cs="黑体"/>
                <w:spacing w:val="-6"/>
                <w:sz w:val="21"/>
              </w:rPr>
              <w:t>消防设施设备配置数量、类型符合实际需求，设置位置合理，定期检查、测试、维</w:t>
            </w:r>
            <w:r>
              <w:rPr>
                <w:rFonts w:hint="eastAsia" w:ascii="黑体" w:hAnsi="黑体" w:eastAsia="黑体" w:cs="黑体"/>
                <w:spacing w:val="-4"/>
                <w:sz w:val="21"/>
              </w:rPr>
              <w:t>护保养。</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1" w:hRule="atLeast"/>
        </w:trPr>
        <w:tc>
          <w:tcPr>
            <w:tcW w:w="824" w:type="dxa"/>
            <w:vMerge w:val="continue"/>
            <w:tcBorders>
              <w:top w:val="nil"/>
            </w:tcBorders>
          </w:tcPr>
          <w:p>
            <w:pPr>
              <w:rPr>
                <w:rFonts w:hint="eastAsia" w:ascii="黑体" w:hAnsi="黑体" w:eastAsia="黑体" w:cs="黑体"/>
                <w:sz w:val="2"/>
                <w:szCs w:val="2"/>
              </w:rPr>
            </w:pPr>
          </w:p>
        </w:tc>
        <w:tc>
          <w:tcPr>
            <w:tcW w:w="1426" w:type="dxa"/>
            <w:vMerge w:val="continue"/>
            <w:tcBorders>
              <w:top w:val="nil"/>
            </w:tcBorders>
          </w:tcPr>
          <w:p>
            <w:pPr>
              <w:rPr>
                <w:rFonts w:hint="eastAsia" w:ascii="黑体" w:hAnsi="黑体" w:eastAsia="黑体" w:cs="黑体"/>
                <w:sz w:val="2"/>
                <w:szCs w:val="2"/>
              </w:rPr>
            </w:pPr>
          </w:p>
        </w:tc>
        <w:tc>
          <w:tcPr>
            <w:tcW w:w="1627" w:type="dxa"/>
            <w:vMerge w:val="restart"/>
          </w:tcPr>
          <w:p>
            <w:pPr>
              <w:pStyle w:val="5"/>
              <w:spacing w:before="2"/>
              <w:rPr>
                <w:rFonts w:hint="eastAsia" w:ascii="黑体" w:hAnsi="黑体" w:eastAsia="黑体" w:cs="黑体"/>
                <w:sz w:val="16"/>
              </w:rPr>
            </w:pPr>
          </w:p>
          <w:p>
            <w:pPr>
              <w:pStyle w:val="5"/>
              <w:spacing w:line="211" w:lineRule="auto"/>
              <w:ind w:left="299" w:right="179" w:hanging="104"/>
              <w:rPr>
                <w:rFonts w:hint="eastAsia" w:ascii="黑体" w:hAnsi="黑体" w:eastAsia="黑体" w:cs="黑体"/>
                <w:sz w:val="21"/>
              </w:rPr>
            </w:pPr>
            <w:r>
              <w:rPr>
                <w:rFonts w:hint="eastAsia" w:ascii="黑体" w:hAnsi="黑体" w:eastAsia="黑体" w:cs="黑体"/>
                <w:spacing w:val="-6"/>
                <w:sz w:val="21"/>
              </w:rPr>
              <w:t>燃气管线及附</w:t>
            </w:r>
            <w:r>
              <w:rPr>
                <w:rFonts w:hint="eastAsia" w:ascii="黑体" w:hAnsi="黑体" w:eastAsia="黑体" w:cs="黑体"/>
                <w:spacing w:val="-2"/>
                <w:sz w:val="21"/>
              </w:rPr>
              <w:t>属设施管理</w:t>
            </w:r>
          </w:p>
        </w:tc>
        <w:tc>
          <w:tcPr>
            <w:tcW w:w="7703" w:type="dxa"/>
          </w:tcPr>
          <w:p>
            <w:pPr>
              <w:pStyle w:val="5"/>
              <w:spacing w:before="19" w:line="211" w:lineRule="auto"/>
              <w:ind w:left="107" w:right="169"/>
              <w:rPr>
                <w:rFonts w:hint="eastAsia" w:ascii="黑体" w:hAnsi="黑体" w:eastAsia="黑体" w:cs="黑体"/>
                <w:sz w:val="21"/>
              </w:rPr>
            </w:pPr>
            <w:r>
              <w:rPr>
                <w:rFonts w:hint="eastAsia" w:ascii="黑体" w:hAnsi="黑体" w:eastAsia="黑体" w:cs="黑体"/>
                <w:spacing w:val="-6"/>
                <w:sz w:val="21"/>
              </w:rPr>
              <w:t>建立实时更新的燃气管线及附属设施（管线、调压装置、阀门阀井、设备设施等）</w:t>
            </w:r>
            <w:r>
              <w:rPr>
                <w:rFonts w:hint="eastAsia" w:ascii="黑体" w:hAnsi="黑体" w:eastAsia="黑体" w:cs="黑体"/>
                <w:spacing w:val="-2"/>
                <w:sz w:val="21"/>
              </w:rPr>
              <w:t>基础信息库。</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824" w:type="dxa"/>
            <w:vMerge w:val="continue"/>
            <w:tcBorders>
              <w:top w:val="nil"/>
            </w:tcBorders>
          </w:tcPr>
          <w:p>
            <w:pPr>
              <w:rPr>
                <w:rFonts w:hint="eastAsia" w:ascii="黑体" w:hAnsi="黑体" w:eastAsia="黑体" w:cs="黑体"/>
                <w:sz w:val="2"/>
                <w:szCs w:val="2"/>
              </w:rPr>
            </w:pPr>
          </w:p>
        </w:tc>
        <w:tc>
          <w:tcPr>
            <w:tcW w:w="1426" w:type="dxa"/>
            <w:vMerge w:val="continue"/>
            <w:tcBorders>
              <w:top w:val="nil"/>
            </w:tcBorders>
          </w:tcPr>
          <w:p>
            <w:pPr>
              <w:rPr>
                <w:rFonts w:hint="eastAsia" w:ascii="黑体" w:hAnsi="黑体" w:eastAsia="黑体" w:cs="黑体"/>
                <w:sz w:val="2"/>
                <w:szCs w:val="2"/>
              </w:rPr>
            </w:pPr>
          </w:p>
        </w:tc>
        <w:tc>
          <w:tcPr>
            <w:tcW w:w="1627" w:type="dxa"/>
            <w:vMerge w:val="continue"/>
            <w:tcBorders>
              <w:top w:val="nil"/>
            </w:tcBorders>
          </w:tcPr>
          <w:p>
            <w:pPr>
              <w:rPr>
                <w:rFonts w:hint="eastAsia" w:ascii="黑体" w:hAnsi="黑体" w:eastAsia="黑体" w:cs="黑体"/>
                <w:sz w:val="2"/>
                <w:szCs w:val="2"/>
              </w:rPr>
            </w:pPr>
          </w:p>
        </w:tc>
        <w:tc>
          <w:tcPr>
            <w:tcW w:w="7703" w:type="dxa"/>
          </w:tcPr>
          <w:p>
            <w:pPr>
              <w:pStyle w:val="5"/>
              <w:spacing w:before="18" w:line="211" w:lineRule="auto"/>
              <w:ind w:left="107" w:right="169"/>
              <w:rPr>
                <w:rFonts w:hint="eastAsia" w:ascii="黑体" w:hAnsi="黑体" w:eastAsia="黑体" w:cs="黑体"/>
                <w:sz w:val="21"/>
              </w:rPr>
            </w:pPr>
            <w:r>
              <w:rPr>
                <w:rFonts w:hint="eastAsia" w:ascii="黑体" w:hAnsi="黑体" w:eastAsia="黑体" w:cs="黑体"/>
                <w:spacing w:val="-6"/>
                <w:sz w:val="21"/>
              </w:rPr>
              <w:t>对燃气管线及附属设施进行巡查、监测、维护、保养、检修、更新，对特种设备的</w:t>
            </w:r>
            <w:r>
              <w:rPr>
                <w:rFonts w:hint="eastAsia" w:ascii="黑体" w:hAnsi="黑体" w:eastAsia="黑体" w:cs="黑体"/>
                <w:spacing w:val="-2"/>
                <w:sz w:val="21"/>
              </w:rPr>
              <w:t>安全附件、安全保护装置进行定期校验、检修。</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824" w:type="dxa"/>
            <w:vMerge w:val="continue"/>
            <w:tcBorders>
              <w:top w:val="nil"/>
            </w:tcBorders>
          </w:tcPr>
          <w:p>
            <w:pPr>
              <w:rPr>
                <w:rFonts w:hint="eastAsia" w:ascii="黑体" w:hAnsi="黑体" w:eastAsia="黑体" w:cs="黑体"/>
                <w:sz w:val="2"/>
                <w:szCs w:val="2"/>
              </w:rPr>
            </w:pPr>
          </w:p>
        </w:tc>
        <w:tc>
          <w:tcPr>
            <w:tcW w:w="1426" w:type="dxa"/>
            <w:vMerge w:val="continue"/>
            <w:tcBorders>
              <w:top w:val="nil"/>
            </w:tcBorders>
          </w:tcPr>
          <w:p>
            <w:pPr>
              <w:rPr>
                <w:rFonts w:hint="eastAsia" w:ascii="黑体" w:hAnsi="黑体" w:eastAsia="黑体" w:cs="黑体"/>
                <w:sz w:val="2"/>
                <w:szCs w:val="2"/>
              </w:rPr>
            </w:pPr>
          </w:p>
        </w:tc>
        <w:tc>
          <w:tcPr>
            <w:tcW w:w="1627" w:type="dxa"/>
            <w:vMerge w:val="restart"/>
          </w:tcPr>
          <w:p>
            <w:pPr>
              <w:pStyle w:val="5"/>
              <w:spacing w:before="15"/>
              <w:rPr>
                <w:rFonts w:hint="eastAsia" w:ascii="黑体" w:hAnsi="黑体" w:eastAsia="黑体" w:cs="黑体"/>
                <w:sz w:val="22"/>
              </w:rPr>
            </w:pPr>
          </w:p>
          <w:p>
            <w:pPr>
              <w:pStyle w:val="5"/>
              <w:spacing w:line="211" w:lineRule="auto"/>
              <w:ind w:left="606" w:right="179" w:hanging="411"/>
              <w:rPr>
                <w:rFonts w:hint="eastAsia" w:ascii="黑体" w:hAnsi="黑体" w:eastAsia="黑体" w:cs="黑体"/>
                <w:sz w:val="21"/>
              </w:rPr>
            </w:pPr>
            <w:r>
              <w:rPr>
                <w:rFonts w:hint="eastAsia" w:ascii="黑体" w:hAnsi="黑体" w:eastAsia="黑体" w:cs="黑体"/>
                <w:spacing w:val="-6"/>
                <w:sz w:val="21"/>
              </w:rPr>
              <w:t>客户用气安全管理</w:t>
            </w:r>
          </w:p>
        </w:tc>
        <w:tc>
          <w:tcPr>
            <w:tcW w:w="7703" w:type="dxa"/>
          </w:tcPr>
          <w:p>
            <w:pPr>
              <w:pStyle w:val="5"/>
              <w:spacing w:line="277" w:lineRule="exact"/>
              <w:ind w:left="107"/>
              <w:rPr>
                <w:rFonts w:hint="eastAsia" w:ascii="黑体" w:hAnsi="黑体" w:eastAsia="黑体" w:cs="黑体"/>
                <w:sz w:val="21"/>
              </w:rPr>
            </w:pPr>
            <w:r>
              <w:rPr>
                <w:rFonts w:hint="eastAsia" w:ascii="黑体" w:hAnsi="黑体" w:eastAsia="黑体" w:cs="黑体"/>
                <w:spacing w:val="-6"/>
                <w:sz w:val="21"/>
              </w:rPr>
              <w:t>建立客户用气安全巡检作业指导书，定期开展客户用气安全检查（</w:t>
            </w:r>
            <w:r>
              <w:rPr>
                <w:rFonts w:hint="eastAsia" w:ascii="黑体" w:hAnsi="黑体" w:eastAsia="黑体" w:cs="黑体"/>
                <w:spacing w:val="-5"/>
                <w:sz w:val="21"/>
              </w:rPr>
              <w:t xml:space="preserve">民用客户至少 </w:t>
            </w:r>
            <w:r>
              <w:rPr>
                <w:rFonts w:hint="eastAsia" w:ascii="黑体" w:hAnsi="黑体" w:eastAsia="黑体" w:cs="黑体"/>
                <w:spacing w:val="-10"/>
                <w:sz w:val="21"/>
              </w:rPr>
              <w:t>2</w:t>
            </w:r>
          </w:p>
          <w:p>
            <w:pPr>
              <w:pStyle w:val="5"/>
              <w:spacing w:line="291" w:lineRule="exact"/>
              <w:ind w:left="107"/>
              <w:rPr>
                <w:rFonts w:hint="eastAsia" w:ascii="黑体" w:hAnsi="黑体" w:eastAsia="黑体" w:cs="黑体"/>
                <w:sz w:val="21"/>
              </w:rPr>
            </w:pPr>
            <w:r>
              <w:rPr>
                <w:rFonts w:hint="eastAsia" w:ascii="黑体" w:hAnsi="黑体" w:eastAsia="黑体" w:cs="黑体"/>
                <w:spacing w:val="-10"/>
                <w:sz w:val="21"/>
              </w:rPr>
              <w:t xml:space="preserve">年 </w:t>
            </w:r>
            <w:r>
              <w:rPr>
                <w:rFonts w:hint="eastAsia" w:ascii="黑体" w:hAnsi="黑体" w:eastAsia="黑体" w:cs="黑体"/>
                <w:spacing w:val="-4"/>
                <w:sz w:val="21"/>
              </w:rPr>
              <w:t xml:space="preserve">1 </w:t>
            </w:r>
            <w:r>
              <w:rPr>
                <w:rFonts w:hint="eastAsia" w:ascii="黑体" w:hAnsi="黑体" w:eastAsia="黑体" w:cs="黑体"/>
                <w:spacing w:val="-6"/>
                <w:sz w:val="21"/>
              </w:rPr>
              <w:t xml:space="preserve">次、公商客户至少 </w:t>
            </w:r>
            <w:r>
              <w:rPr>
                <w:rFonts w:hint="eastAsia" w:ascii="黑体" w:hAnsi="黑体" w:eastAsia="黑体" w:cs="黑体"/>
                <w:spacing w:val="-4"/>
                <w:sz w:val="21"/>
              </w:rPr>
              <w:t>1</w:t>
            </w:r>
            <w:r>
              <w:rPr>
                <w:rFonts w:hint="eastAsia" w:ascii="黑体" w:hAnsi="黑体" w:eastAsia="黑体" w:cs="黑体"/>
                <w:spacing w:val="-2"/>
                <w:sz w:val="21"/>
              </w:rPr>
              <w:t xml:space="preserve"> </w:t>
            </w:r>
            <w:r>
              <w:rPr>
                <w:rFonts w:hint="eastAsia" w:ascii="黑体" w:hAnsi="黑体" w:eastAsia="黑体" w:cs="黑体"/>
                <w:spacing w:val="-10"/>
                <w:sz w:val="21"/>
              </w:rPr>
              <w:t xml:space="preserve">年 </w:t>
            </w:r>
            <w:r>
              <w:rPr>
                <w:rFonts w:hint="eastAsia" w:ascii="黑体" w:hAnsi="黑体" w:eastAsia="黑体" w:cs="黑体"/>
                <w:spacing w:val="-4"/>
                <w:sz w:val="21"/>
              </w:rPr>
              <w:t xml:space="preserve">1 </w:t>
            </w:r>
            <w:r>
              <w:rPr>
                <w:rFonts w:hint="eastAsia" w:ascii="黑体" w:hAnsi="黑体" w:eastAsia="黑体" w:cs="黑体"/>
                <w:spacing w:val="-5"/>
                <w:sz w:val="21"/>
              </w:rPr>
              <w:t xml:space="preserve">次、商业综合体至少 </w:t>
            </w:r>
            <w:r>
              <w:rPr>
                <w:rFonts w:hint="eastAsia" w:ascii="黑体" w:hAnsi="黑体" w:eastAsia="黑体" w:cs="黑体"/>
                <w:spacing w:val="-4"/>
                <w:sz w:val="21"/>
              </w:rPr>
              <w:t>3</w:t>
            </w:r>
            <w:r>
              <w:rPr>
                <w:rFonts w:hint="eastAsia" w:ascii="黑体" w:hAnsi="黑体" w:eastAsia="黑体" w:cs="黑体"/>
                <w:spacing w:val="-5"/>
                <w:sz w:val="21"/>
              </w:rPr>
              <w:t xml:space="preserve"> </w:t>
            </w:r>
            <w:r>
              <w:rPr>
                <w:rFonts w:hint="eastAsia" w:ascii="黑体" w:hAnsi="黑体" w:eastAsia="黑体" w:cs="黑体"/>
                <w:spacing w:val="-8"/>
                <w:sz w:val="21"/>
              </w:rPr>
              <w:t xml:space="preserve">个月 </w:t>
            </w:r>
            <w:r>
              <w:rPr>
                <w:rFonts w:hint="eastAsia" w:ascii="黑体" w:hAnsi="黑体" w:eastAsia="黑体" w:cs="黑体"/>
                <w:spacing w:val="-4"/>
                <w:sz w:val="21"/>
              </w:rPr>
              <w:t>1</w:t>
            </w:r>
            <w:r>
              <w:rPr>
                <w:rFonts w:hint="eastAsia" w:ascii="黑体" w:hAnsi="黑体" w:eastAsia="黑体" w:cs="黑体"/>
                <w:spacing w:val="-1"/>
                <w:sz w:val="21"/>
              </w:rPr>
              <w:t xml:space="preserve"> </w:t>
            </w:r>
            <w:r>
              <w:rPr>
                <w:rFonts w:hint="eastAsia" w:ascii="黑体" w:hAnsi="黑体" w:eastAsia="黑体" w:cs="黑体"/>
                <w:spacing w:val="-4"/>
                <w:sz w:val="21"/>
              </w:rPr>
              <w:t>次</w:t>
            </w:r>
            <w:r>
              <w:rPr>
                <w:rFonts w:hint="eastAsia" w:ascii="黑体" w:hAnsi="黑体" w:eastAsia="黑体" w:cs="黑体"/>
                <w:spacing w:val="-109"/>
                <w:sz w:val="21"/>
              </w:rPr>
              <w:t>）</w:t>
            </w:r>
            <w:r>
              <w:rPr>
                <w:rFonts w:hint="eastAsia" w:ascii="黑体" w:hAnsi="黑体" w:eastAsia="黑体" w:cs="黑体"/>
                <w:spacing w:val="-10"/>
                <w:sz w:val="21"/>
              </w:rPr>
              <w:t>。</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3" w:hRule="atLeast"/>
        </w:trPr>
        <w:tc>
          <w:tcPr>
            <w:tcW w:w="824" w:type="dxa"/>
            <w:vMerge w:val="continue"/>
            <w:tcBorders>
              <w:top w:val="nil"/>
            </w:tcBorders>
          </w:tcPr>
          <w:p>
            <w:pPr>
              <w:rPr>
                <w:rFonts w:hint="eastAsia" w:ascii="黑体" w:hAnsi="黑体" w:eastAsia="黑体" w:cs="黑体"/>
                <w:sz w:val="2"/>
                <w:szCs w:val="2"/>
              </w:rPr>
            </w:pPr>
          </w:p>
        </w:tc>
        <w:tc>
          <w:tcPr>
            <w:tcW w:w="1426" w:type="dxa"/>
            <w:vMerge w:val="continue"/>
            <w:tcBorders>
              <w:top w:val="nil"/>
            </w:tcBorders>
          </w:tcPr>
          <w:p>
            <w:pPr>
              <w:rPr>
                <w:rFonts w:hint="eastAsia" w:ascii="黑体" w:hAnsi="黑体" w:eastAsia="黑体" w:cs="黑体"/>
                <w:sz w:val="2"/>
                <w:szCs w:val="2"/>
              </w:rPr>
            </w:pPr>
          </w:p>
        </w:tc>
        <w:tc>
          <w:tcPr>
            <w:tcW w:w="1627" w:type="dxa"/>
            <w:vMerge w:val="continue"/>
            <w:tcBorders>
              <w:top w:val="nil"/>
            </w:tcBorders>
          </w:tcPr>
          <w:p>
            <w:pPr>
              <w:rPr>
                <w:rFonts w:hint="eastAsia" w:ascii="黑体" w:hAnsi="黑体" w:eastAsia="黑体" w:cs="黑体"/>
                <w:sz w:val="2"/>
                <w:szCs w:val="2"/>
              </w:rPr>
            </w:pPr>
          </w:p>
        </w:tc>
        <w:tc>
          <w:tcPr>
            <w:tcW w:w="7703" w:type="dxa"/>
          </w:tcPr>
          <w:p>
            <w:pPr>
              <w:pStyle w:val="5"/>
              <w:spacing w:before="16" w:line="213" w:lineRule="auto"/>
              <w:ind w:left="107" w:right="169"/>
              <w:jc w:val="both"/>
              <w:rPr>
                <w:rFonts w:hint="eastAsia" w:ascii="黑体" w:hAnsi="黑体" w:eastAsia="黑体" w:cs="黑体"/>
                <w:sz w:val="21"/>
              </w:rPr>
            </w:pPr>
            <w:r>
              <w:rPr>
                <w:rFonts w:hint="eastAsia" w:ascii="黑体" w:hAnsi="黑体" w:eastAsia="黑体" w:cs="黑体"/>
                <w:spacing w:val="-6"/>
                <w:sz w:val="21"/>
              </w:rPr>
              <w:t>发现燃气用户违反安全用气规定或者存在安全隐患的，及时告知燃气用户并提出书面整改建议；对燃气用户进行安全指导，发放各类安全用气宣传资料，开展安全用</w:t>
            </w:r>
            <w:r>
              <w:rPr>
                <w:rFonts w:hint="eastAsia" w:ascii="黑体" w:hAnsi="黑体" w:eastAsia="黑体" w:cs="黑体"/>
                <w:spacing w:val="-2"/>
                <w:sz w:val="21"/>
              </w:rPr>
              <w:t>气宣传活动。</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824" w:type="dxa"/>
            <w:vMerge w:val="continue"/>
            <w:tcBorders>
              <w:top w:val="nil"/>
            </w:tcBorders>
          </w:tcPr>
          <w:p>
            <w:pPr>
              <w:rPr>
                <w:rFonts w:hint="eastAsia" w:ascii="黑体" w:hAnsi="黑体" w:eastAsia="黑体" w:cs="黑体"/>
                <w:sz w:val="2"/>
                <w:szCs w:val="2"/>
              </w:rPr>
            </w:pPr>
          </w:p>
        </w:tc>
        <w:tc>
          <w:tcPr>
            <w:tcW w:w="1426" w:type="dxa"/>
            <w:vMerge w:val="continue"/>
            <w:tcBorders>
              <w:top w:val="nil"/>
            </w:tcBorders>
          </w:tcPr>
          <w:p>
            <w:pPr>
              <w:rPr>
                <w:rFonts w:hint="eastAsia" w:ascii="黑体" w:hAnsi="黑体" w:eastAsia="黑体" w:cs="黑体"/>
                <w:sz w:val="2"/>
                <w:szCs w:val="2"/>
              </w:rPr>
            </w:pPr>
          </w:p>
        </w:tc>
        <w:tc>
          <w:tcPr>
            <w:tcW w:w="1627" w:type="dxa"/>
            <w:vMerge w:val="restart"/>
          </w:tcPr>
          <w:p>
            <w:pPr>
              <w:pStyle w:val="5"/>
              <w:spacing w:before="8"/>
              <w:rPr>
                <w:rFonts w:hint="eastAsia" w:ascii="黑体" w:hAnsi="黑体" w:eastAsia="黑体" w:cs="黑体"/>
                <w:sz w:val="21"/>
              </w:rPr>
            </w:pPr>
          </w:p>
          <w:p>
            <w:pPr>
              <w:pStyle w:val="5"/>
              <w:ind w:left="196"/>
              <w:rPr>
                <w:rFonts w:hint="eastAsia" w:ascii="黑体" w:hAnsi="黑体" w:eastAsia="黑体" w:cs="黑体"/>
                <w:sz w:val="21"/>
              </w:rPr>
            </w:pPr>
            <w:r>
              <w:rPr>
                <w:rFonts w:hint="eastAsia" w:ascii="黑体" w:hAnsi="黑体" w:eastAsia="黑体" w:cs="黑体"/>
                <w:spacing w:val="-7"/>
                <w:sz w:val="21"/>
              </w:rPr>
              <w:t>工程安全管理</w:t>
            </w:r>
          </w:p>
        </w:tc>
        <w:tc>
          <w:tcPr>
            <w:tcW w:w="7703" w:type="dxa"/>
          </w:tcPr>
          <w:p>
            <w:pPr>
              <w:pStyle w:val="5"/>
              <w:spacing w:before="19" w:line="211" w:lineRule="auto"/>
              <w:ind w:left="107" w:right="169"/>
              <w:rPr>
                <w:rFonts w:hint="eastAsia" w:ascii="黑体" w:hAnsi="黑体" w:eastAsia="黑体" w:cs="黑体"/>
                <w:sz w:val="21"/>
              </w:rPr>
            </w:pPr>
            <w:r>
              <w:rPr>
                <w:rFonts w:hint="eastAsia" w:ascii="黑体" w:hAnsi="黑体" w:eastAsia="黑体" w:cs="黑体"/>
                <w:spacing w:val="-6"/>
                <w:sz w:val="21"/>
              </w:rPr>
              <w:t>危险性较大的分部分项工程（如深基坑作业、脚手架搭设、临边作业、高空作业）</w:t>
            </w:r>
            <w:r>
              <w:rPr>
                <w:rFonts w:hint="eastAsia" w:ascii="黑体" w:hAnsi="黑体" w:eastAsia="黑体" w:cs="黑体"/>
                <w:spacing w:val="-2"/>
                <w:sz w:val="21"/>
              </w:rPr>
              <w:t>要制定专项施工方案，保障安全措施。</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1" w:hRule="atLeast"/>
        </w:trPr>
        <w:tc>
          <w:tcPr>
            <w:tcW w:w="824" w:type="dxa"/>
            <w:vMerge w:val="continue"/>
            <w:tcBorders>
              <w:top w:val="nil"/>
            </w:tcBorders>
          </w:tcPr>
          <w:p>
            <w:pPr>
              <w:rPr>
                <w:rFonts w:hint="eastAsia" w:ascii="黑体" w:hAnsi="黑体" w:eastAsia="黑体" w:cs="黑体"/>
                <w:sz w:val="2"/>
                <w:szCs w:val="2"/>
              </w:rPr>
            </w:pPr>
          </w:p>
        </w:tc>
        <w:tc>
          <w:tcPr>
            <w:tcW w:w="1426" w:type="dxa"/>
            <w:vMerge w:val="continue"/>
            <w:tcBorders>
              <w:top w:val="nil"/>
            </w:tcBorders>
          </w:tcPr>
          <w:p>
            <w:pPr>
              <w:rPr>
                <w:rFonts w:hint="eastAsia" w:ascii="黑体" w:hAnsi="黑体" w:eastAsia="黑体" w:cs="黑体"/>
                <w:sz w:val="2"/>
                <w:szCs w:val="2"/>
              </w:rPr>
            </w:pPr>
          </w:p>
        </w:tc>
        <w:tc>
          <w:tcPr>
            <w:tcW w:w="1627" w:type="dxa"/>
            <w:vMerge w:val="continue"/>
            <w:tcBorders>
              <w:top w:val="nil"/>
            </w:tcBorders>
          </w:tcPr>
          <w:p>
            <w:pPr>
              <w:rPr>
                <w:rFonts w:hint="eastAsia" w:ascii="黑体" w:hAnsi="黑体" w:eastAsia="黑体" w:cs="黑体"/>
                <w:sz w:val="2"/>
                <w:szCs w:val="2"/>
              </w:rPr>
            </w:pPr>
          </w:p>
        </w:tc>
        <w:tc>
          <w:tcPr>
            <w:tcW w:w="7703" w:type="dxa"/>
          </w:tcPr>
          <w:p>
            <w:pPr>
              <w:pStyle w:val="5"/>
              <w:spacing w:before="15" w:line="213" w:lineRule="auto"/>
              <w:ind w:left="107" w:right="169"/>
              <w:rPr>
                <w:rFonts w:hint="eastAsia" w:ascii="黑体" w:hAnsi="黑体" w:eastAsia="黑体" w:cs="黑体"/>
                <w:sz w:val="21"/>
              </w:rPr>
            </w:pPr>
            <w:r>
              <w:rPr>
                <w:rFonts w:hint="eastAsia" w:ascii="黑体" w:hAnsi="黑体" w:eastAsia="黑体" w:cs="黑体"/>
                <w:spacing w:val="-6"/>
                <w:sz w:val="21"/>
              </w:rPr>
              <w:t>工程材料的堆放、保护符合要求，临时用电接线规范，机电设备及工具完好，现场</w:t>
            </w:r>
            <w:r>
              <w:rPr>
                <w:rFonts w:hint="eastAsia" w:ascii="黑体" w:hAnsi="黑体" w:eastAsia="黑体" w:cs="黑体"/>
                <w:spacing w:val="-7"/>
                <w:sz w:val="21"/>
              </w:rPr>
              <w:t>消防器材、安全防护设施、警示标志符合要求；严格遵守属地安全文明施工规定。</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3" w:hRule="atLeast"/>
        </w:trPr>
        <w:tc>
          <w:tcPr>
            <w:tcW w:w="824" w:type="dxa"/>
            <w:vMerge w:val="continue"/>
            <w:tcBorders>
              <w:top w:val="nil"/>
            </w:tcBorders>
          </w:tcPr>
          <w:p>
            <w:pPr>
              <w:rPr>
                <w:rFonts w:hint="eastAsia" w:ascii="黑体" w:hAnsi="黑体" w:eastAsia="黑体" w:cs="黑体"/>
                <w:sz w:val="2"/>
                <w:szCs w:val="2"/>
              </w:rPr>
            </w:pPr>
          </w:p>
        </w:tc>
        <w:tc>
          <w:tcPr>
            <w:tcW w:w="1426" w:type="dxa"/>
            <w:vMerge w:val="continue"/>
            <w:tcBorders>
              <w:top w:val="nil"/>
            </w:tcBorders>
          </w:tcPr>
          <w:p>
            <w:pPr>
              <w:rPr>
                <w:rFonts w:hint="eastAsia" w:ascii="黑体" w:hAnsi="黑体" w:eastAsia="黑体" w:cs="黑体"/>
                <w:sz w:val="2"/>
                <w:szCs w:val="2"/>
              </w:rPr>
            </w:pPr>
          </w:p>
        </w:tc>
        <w:tc>
          <w:tcPr>
            <w:tcW w:w="1627" w:type="dxa"/>
            <w:vMerge w:val="restart"/>
          </w:tcPr>
          <w:p>
            <w:pPr>
              <w:pStyle w:val="5"/>
              <w:spacing w:before="5"/>
              <w:rPr>
                <w:rFonts w:hint="eastAsia" w:ascii="黑体" w:hAnsi="黑体" w:eastAsia="黑体" w:cs="黑体"/>
                <w:sz w:val="21"/>
              </w:rPr>
            </w:pPr>
          </w:p>
          <w:p>
            <w:pPr>
              <w:pStyle w:val="5"/>
              <w:ind w:left="400"/>
              <w:rPr>
                <w:rFonts w:hint="eastAsia" w:ascii="黑体" w:hAnsi="黑体" w:eastAsia="黑体" w:cs="黑体"/>
                <w:sz w:val="21"/>
              </w:rPr>
            </w:pPr>
            <w:r>
              <w:rPr>
                <w:rFonts w:hint="eastAsia" w:ascii="黑体" w:hAnsi="黑体" w:eastAsia="黑体" w:cs="黑体"/>
                <w:spacing w:val="-8"/>
                <w:sz w:val="21"/>
              </w:rPr>
              <w:t>作业安全</w:t>
            </w:r>
          </w:p>
        </w:tc>
        <w:tc>
          <w:tcPr>
            <w:tcW w:w="7703" w:type="dxa"/>
          </w:tcPr>
          <w:p>
            <w:pPr>
              <w:pStyle w:val="5"/>
              <w:spacing w:before="18" w:line="211" w:lineRule="auto"/>
              <w:ind w:left="107" w:right="94"/>
              <w:jc w:val="both"/>
              <w:rPr>
                <w:rFonts w:hint="eastAsia" w:ascii="黑体" w:hAnsi="黑体" w:eastAsia="黑体" w:cs="黑体"/>
                <w:sz w:val="21"/>
              </w:rPr>
            </w:pPr>
            <w:r>
              <w:rPr>
                <w:rFonts w:hint="eastAsia" w:ascii="黑体" w:hAnsi="黑体" w:eastAsia="黑体" w:cs="黑体"/>
                <w:spacing w:val="-4"/>
                <w:sz w:val="21"/>
              </w:rPr>
              <w:t>对高危作业（高处作业、密闭空间作业、动火作业、深基坑作业、吊装等）实施作</w:t>
            </w:r>
            <w:r>
              <w:rPr>
                <w:rFonts w:hint="eastAsia" w:ascii="黑体" w:hAnsi="黑体" w:eastAsia="黑体" w:cs="黑体"/>
                <w:spacing w:val="-6"/>
                <w:sz w:val="21"/>
              </w:rPr>
              <w:t>业许可管理；高危作业人员（资质、监护</w:t>
            </w:r>
            <w:r>
              <w:rPr>
                <w:rFonts w:hint="eastAsia" w:ascii="黑体" w:hAnsi="黑体" w:eastAsia="黑体" w:cs="黑体"/>
                <w:spacing w:val="-106"/>
                <w:sz w:val="21"/>
              </w:rPr>
              <w:t>）</w:t>
            </w:r>
            <w:r>
              <w:rPr>
                <w:rFonts w:hint="eastAsia" w:ascii="黑体" w:hAnsi="黑体" w:eastAsia="黑体" w:cs="黑体"/>
                <w:spacing w:val="-6"/>
                <w:sz w:val="21"/>
              </w:rPr>
              <w:t>、现场环境、安全管控措施、应急措施等</w:t>
            </w:r>
            <w:r>
              <w:rPr>
                <w:rFonts w:hint="eastAsia" w:ascii="黑体" w:hAnsi="黑体" w:eastAsia="黑体" w:cs="黑体"/>
                <w:spacing w:val="-2"/>
                <w:sz w:val="21"/>
              </w:rPr>
              <w:t>应符合规定。</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824" w:type="dxa"/>
            <w:vMerge w:val="continue"/>
            <w:tcBorders>
              <w:top w:val="nil"/>
            </w:tcBorders>
          </w:tcPr>
          <w:p>
            <w:pPr>
              <w:rPr>
                <w:rFonts w:hint="eastAsia" w:ascii="黑体" w:hAnsi="黑体" w:eastAsia="黑体" w:cs="黑体"/>
                <w:sz w:val="2"/>
                <w:szCs w:val="2"/>
              </w:rPr>
            </w:pPr>
          </w:p>
        </w:tc>
        <w:tc>
          <w:tcPr>
            <w:tcW w:w="1426" w:type="dxa"/>
            <w:vMerge w:val="continue"/>
            <w:tcBorders>
              <w:top w:val="nil"/>
            </w:tcBorders>
          </w:tcPr>
          <w:p>
            <w:pPr>
              <w:rPr>
                <w:rFonts w:hint="eastAsia" w:ascii="黑体" w:hAnsi="黑体" w:eastAsia="黑体" w:cs="黑体"/>
                <w:sz w:val="2"/>
                <w:szCs w:val="2"/>
              </w:rPr>
            </w:pPr>
          </w:p>
        </w:tc>
        <w:tc>
          <w:tcPr>
            <w:tcW w:w="1627" w:type="dxa"/>
            <w:vMerge w:val="continue"/>
            <w:tcBorders>
              <w:top w:val="nil"/>
            </w:tcBorders>
          </w:tcPr>
          <w:p>
            <w:pPr>
              <w:rPr>
                <w:rFonts w:hint="eastAsia" w:ascii="黑体" w:hAnsi="黑体" w:eastAsia="黑体" w:cs="黑体"/>
                <w:sz w:val="2"/>
                <w:szCs w:val="2"/>
              </w:rPr>
            </w:pPr>
          </w:p>
        </w:tc>
        <w:tc>
          <w:tcPr>
            <w:tcW w:w="7703" w:type="dxa"/>
          </w:tcPr>
          <w:p>
            <w:pPr>
              <w:pStyle w:val="5"/>
              <w:spacing w:line="296" w:lineRule="exact"/>
              <w:ind w:left="107"/>
              <w:rPr>
                <w:rFonts w:hint="eastAsia" w:ascii="黑体" w:hAnsi="黑体" w:eastAsia="黑体" w:cs="黑体"/>
                <w:sz w:val="21"/>
              </w:rPr>
            </w:pPr>
            <w:r>
              <w:rPr>
                <w:rFonts w:hint="eastAsia" w:ascii="黑体" w:hAnsi="黑体" w:eastAsia="黑体" w:cs="黑体"/>
                <w:spacing w:val="-7"/>
                <w:sz w:val="21"/>
              </w:rPr>
              <w:t>制定通气点火、停复气作业指导书，严格执行相关安全要求，作业资料完整。</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bl>
    <w:p>
      <w:pPr>
        <w:spacing w:after="0"/>
        <w:rPr>
          <w:rFonts w:hint="eastAsia" w:ascii="黑体" w:hAnsi="黑体" w:eastAsia="黑体" w:cs="黑体"/>
          <w:sz w:val="20"/>
        </w:rPr>
        <w:sectPr>
          <w:pgSz w:w="16840" w:h="11910" w:orient="landscape"/>
          <w:pgMar w:top="1340" w:right="920" w:bottom="1840" w:left="920" w:header="0" w:footer="1654" w:gutter="0"/>
          <w:cols w:space="720" w:num="1"/>
        </w:sectPr>
      </w:pPr>
    </w:p>
    <w:p>
      <w:pPr>
        <w:pStyle w:val="2"/>
        <w:rPr>
          <w:rFonts w:hint="eastAsia" w:ascii="黑体" w:hAnsi="黑体" w:eastAsia="黑体" w:cs="黑体"/>
          <w:sz w:val="12"/>
        </w:rPr>
      </w:pPr>
    </w:p>
    <w:tbl>
      <w:tblPr>
        <w:tblStyle w:val="3"/>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1426"/>
        <w:gridCol w:w="1627"/>
        <w:gridCol w:w="7703"/>
        <w:gridCol w:w="1842"/>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6" w:hRule="atLeast"/>
        </w:trPr>
        <w:tc>
          <w:tcPr>
            <w:tcW w:w="824" w:type="dxa"/>
            <w:vMerge w:val="restart"/>
          </w:tcPr>
          <w:p>
            <w:pPr>
              <w:pStyle w:val="5"/>
              <w:spacing w:before="10"/>
              <w:rPr>
                <w:rFonts w:hint="eastAsia" w:ascii="黑体" w:hAnsi="黑体" w:eastAsia="黑体" w:cs="黑体"/>
                <w:sz w:val="22"/>
              </w:rPr>
            </w:pPr>
          </w:p>
          <w:p>
            <w:pPr>
              <w:pStyle w:val="5"/>
              <w:spacing w:before="1"/>
              <w:ind w:left="204"/>
              <w:rPr>
                <w:rFonts w:hint="eastAsia" w:ascii="黑体" w:hAnsi="黑体" w:eastAsia="黑体" w:cs="黑体"/>
                <w:sz w:val="21"/>
              </w:rPr>
            </w:pPr>
            <w:r>
              <w:rPr>
                <w:rFonts w:hint="eastAsia" w:ascii="黑体" w:hAnsi="黑体" w:eastAsia="黑体" w:cs="黑体"/>
                <w:spacing w:val="-9"/>
                <w:sz w:val="21"/>
              </w:rPr>
              <w:t>序号</w:t>
            </w:r>
          </w:p>
        </w:tc>
        <w:tc>
          <w:tcPr>
            <w:tcW w:w="3053" w:type="dxa"/>
            <w:gridSpan w:val="2"/>
          </w:tcPr>
          <w:p>
            <w:pPr>
              <w:pStyle w:val="5"/>
              <w:spacing w:line="336" w:lineRule="exact"/>
              <w:ind w:left="1102" w:right="1092"/>
              <w:jc w:val="center"/>
              <w:rPr>
                <w:rFonts w:hint="eastAsia" w:ascii="黑体" w:hAnsi="黑体" w:eastAsia="黑体" w:cs="黑体"/>
                <w:sz w:val="21"/>
              </w:rPr>
            </w:pPr>
            <w:r>
              <w:rPr>
                <w:rFonts w:hint="eastAsia" w:ascii="黑体" w:hAnsi="黑体" w:eastAsia="黑体" w:cs="黑体"/>
                <w:spacing w:val="-8"/>
                <w:sz w:val="21"/>
              </w:rPr>
              <w:t>检查项目</w:t>
            </w:r>
          </w:p>
        </w:tc>
        <w:tc>
          <w:tcPr>
            <w:tcW w:w="7703" w:type="dxa"/>
            <w:vMerge w:val="restart"/>
          </w:tcPr>
          <w:p>
            <w:pPr>
              <w:pStyle w:val="5"/>
              <w:spacing w:before="10"/>
              <w:rPr>
                <w:rFonts w:hint="eastAsia" w:ascii="黑体" w:hAnsi="黑体" w:eastAsia="黑体" w:cs="黑体"/>
                <w:sz w:val="22"/>
              </w:rPr>
            </w:pPr>
          </w:p>
          <w:p>
            <w:pPr>
              <w:pStyle w:val="5"/>
              <w:spacing w:before="1"/>
              <w:ind w:left="3428" w:right="3417"/>
              <w:jc w:val="center"/>
              <w:rPr>
                <w:rFonts w:hint="eastAsia" w:ascii="黑体" w:hAnsi="黑体" w:eastAsia="黑体" w:cs="黑体"/>
                <w:sz w:val="21"/>
              </w:rPr>
            </w:pPr>
            <w:r>
              <w:rPr>
                <w:rFonts w:hint="eastAsia" w:ascii="黑体" w:hAnsi="黑体" w:eastAsia="黑体" w:cs="黑体"/>
                <w:spacing w:val="-8"/>
                <w:sz w:val="21"/>
              </w:rPr>
              <w:t>检查清单</w:t>
            </w:r>
          </w:p>
        </w:tc>
        <w:tc>
          <w:tcPr>
            <w:tcW w:w="1842" w:type="dxa"/>
            <w:vMerge w:val="restart"/>
          </w:tcPr>
          <w:p>
            <w:pPr>
              <w:pStyle w:val="5"/>
              <w:spacing w:line="305" w:lineRule="exact"/>
              <w:ind w:left="194" w:right="184"/>
              <w:jc w:val="center"/>
              <w:rPr>
                <w:rFonts w:hint="eastAsia" w:ascii="黑体" w:hAnsi="黑体" w:eastAsia="黑体" w:cs="黑体"/>
                <w:sz w:val="21"/>
              </w:rPr>
            </w:pPr>
            <w:r>
              <w:rPr>
                <w:rFonts w:hint="eastAsia" w:ascii="黑体" w:hAnsi="黑体" w:eastAsia="黑体" w:cs="黑体"/>
                <w:spacing w:val="-8"/>
                <w:sz w:val="21"/>
              </w:rPr>
              <w:t>责任人</w:t>
            </w:r>
          </w:p>
          <w:p>
            <w:pPr>
              <w:pStyle w:val="5"/>
              <w:spacing w:before="25" w:line="204" w:lineRule="auto"/>
              <w:ind w:left="200" w:right="184"/>
              <w:jc w:val="center"/>
              <w:rPr>
                <w:rFonts w:hint="eastAsia" w:ascii="黑体" w:hAnsi="黑体" w:eastAsia="黑体" w:cs="黑体"/>
                <w:sz w:val="21"/>
              </w:rPr>
            </w:pPr>
            <w:r>
              <w:rPr>
                <w:rFonts w:hint="eastAsia" w:ascii="黑体" w:hAnsi="黑体" w:eastAsia="黑体" w:cs="黑体"/>
                <w:spacing w:val="-6"/>
                <w:sz w:val="21"/>
              </w:rPr>
              <w:t>（明确到各岗位一线操作者具体</w:t>
            </w:r>
            <w:r>
              <w:rPr>
                <w:rFonts w:hint="eastAsia" w:ascii="黑体" w:hAnsi="黑体" w:eastAsia="黑体" w:cs="黑体"/>
                <w:spacing w:val="-4"/>
                <w:sz w:val="21"/>
              </w:rPr>
              <w:t>责任人）</w:t>
            </w:r>
          </w:p>
        </w:tc>
        <w:tc>
          <w:tcPr>
            <w:tcW w:w="1340" w:type="dxa"/>
            <w:vMerge w:val="restart"/>
          </w:tcPr>
          <w:p>
            <w:pPr>
              <w:pStyle w:val="5"/>
              <w:spacing w:before="164" w:line="289" w:lineRule="exact"/>
              <w:ind w:left="449" w:right="438"/>
              <w:jc w:val="center"/>
              <w:rPr>
                <w:rFonts w:hint="eastAsia" w:ascii="黑体" w:hAnsi="黑体" w:eastAsia="黑体" w:cs="黑体"/>
                <w:sz w:val="21"/>
              </w:rPr>
            </w:pPr>
            <w:r>
              <w:rPr>
                <w:rFonts w:hint="eastAsia" w:ascii="黑体" w:hAnsi="黑体" w:eastAsia="黑体" w:cs="黑体"/>
                <w:spacing w:val="-9"/>
                <w:sz w:val="21"/>
              </w:rPr>
              <w:t>备注</w:t>
            </w:r>
          </w:p>
          <w:p>
            <w:pPr>
              <w:pStyle w:val="5"/>
              <w:spacing w:before="9" w:line="213" w:lineRule="auto"/>
              <w:ind w:left="155" w:right="140"/>
              <w:jc w:val="both"/>
              <w:rPr>
                <w:rFonts w:hint="eastAsia" w:ascii="黑体" w:hAnsi="黑体" w:eastAsia="黑体" w:cs="黑体"/>
                <w:sz w:val="21"/>
              </w:rPr>
            </w:pPr>
            <w:r>
              <w:rPr>
                <w:rFonts w:hint="eastAsia" w:ascii="黑体" w:hAnsi="黑体" w:eastAsia="黑体" w:cs="黑体"/>
                <w:spacing w:val="-6"/>
                <w:sz w:val="21"/>
              </w:rPr>
              <w:t>（明确检查周期、抽查</w:t>
            </w:r>
            <w:r>
              <w:rPr>
                <w:rFonts w:hint="eastAsia" w:ascii="黑体" w:hAnsi="黑体" w:eastAsia="黑体" w:cs="黑体"/>
                <w:spacing w:val="-4"/>
                <w:sz w:val="21"/>
              </w:rPr>
              <w:t>比例等）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1" w:hRule="atLeast"/>
        </w:trPr>
        <w:tc>
          <w:tcPr>
            <w:tcW w:w="824" w:type="dxa"/>
            <w:vMerge w:val="continue"/>
            <w:tcBorders>
              <w:top w:val="nil"/>
            </w:tcBorders>
          </w:tcPr>
          <w:p>
            <w:pPr>
              <w:rPr>
                <w:rFonts w:hint="eastAsia" w:ascii="黑体" w:hAnsi="黑体" w:eastAsia="黑体" w:cs="黑体"/>
                <w:sz w:val="2"/>
                <w:szCs w:val="2"/>
              </w:rPr>
            </w:pPr>
          </w:p>
        </w:tc>
        <w:tc>
          <w:tcPr>
            <w:tcW w:w="1426" w:type="dxa"/>
          </w:tcPr>
          <w:p>
            <w:pPr>
              <w:pStyle w:val="5"/>
              <w:spacing w:before="239"/>
              <w:ind w:left="300"/>
              <w:rPr>
                <w:rFonts w:hint="eastAsia" w:ascii="黑体" w:hAnsi="黑体" w:eastAsia="黑体" w:cs="黑体"/>
                <w:sz w:val="21"/>
              </w:rPr>
            </w:pPr>
            <w:r>
              <w:rPr>
                <w:rFonts w:hint="eastAsia" w:ascii="黑体" w:hAnsi="黑体" w:eastAsia="黑体" w:cs="黑体"/>
                <w:spacing w:val="-8"/>
                <w:sz w:val="21"/>
              </w:rPr>
              <w:t>一级要素</w:t>
            </w:r>
          </w:p>
        </w:tc>
        <w:tc>
          <w:tcPr>
            <w:tcW w:w="1627" w:type="dxa"/>
          </w:tcPr>
          <w:p>
            <w:pPr>
              <w:pStyle w:val="5"/>
              <w:spacing w:before="239"/>
              <w:ind w:left="181" w:right="172"/>
              <w:jc w:val="center"/>
              <w:rPr>
                <w:rFonts w:hint="eastAsia" w:ascii="黑体" w:hAnsi="黑体" w:eastAsia="黑体" w:cs="黑体"/>
                <w:sz w:val="21"/>
              </w:rPr>
            </w:pPr>
            <w:r>
              <w:rPr>
                <w:rFonts w:hint="eastAsia" w:ascii="黑体" w:hAnsi="黑体" w:eastAsia="黑体" w:cs="黑体"/>
                <w:spacing w:val="-8"/>
                <w:sz w:val="21"/>
              </w:rPr>
              <w:t>二级要素</w:t>
            </w:r>
          </w:p>
        </w:tc>
        <w:tc>
          <w:tcPr>
            <w:tcW w:w="7703" w:type="dxa"/>
            <w:vMerge w:val="continue"/>
            <w:tcBorders>
              <w:top w:val="nil"/>
            </w:tcBorders>
          </w:tcPr>
          <w:p>
            <w:pPr>
              <w:rPr>
                <w:rFonts w:hint="eastAsia" w:ascii="黑体" w:hAnsi="黑体" w:eastAsia="黑体" w:cs="黑体"/>
                <w:sz w:val="2"/>
                <w:szCs w:val="2"/>
              </w:rPr>
            </w:pPr>
          </w:p>
        </w:tc>
        <w:tc>
          <w:tcPr>
            <w:tcW w:w="1842" w:type="dxa"/>
            <w:vMerge w:val="continue"/>
            <w:tcBorders>
              <w:top w:val="nil"/>
            </w:tcBorders>
          </w:tcPr>
          <w:p>
            <w:pPr>
              <w:rPr>
                <w:rFonts w:hint="eastAsia" w:ascii="黑体" w:hAnsi="黑体" w:eastAsia="黑体" w:cs="黑体"/>
                <w:sz w:val="2"/>
                <w:szCs w:val="2"/>
              </w:rPr>
            </w:pPr>
          </w:p>
        </w:tc>
        <w:tc>
          <w:tcPr>
            <w:tcW w:w="1340" w:type="dxa"/>
            <w:vMerge w:val="continue"/>
            <w:tcBorders>
              <w:top w:val="nil"/>
            </w:tcBorders>
          </w:tcPr>
          <w:p>
            <w:pPr>
              <w:rPr>
                <w:rFonts w:hint="eastAsia" w:ascii="黑体" w:hAnsi="黑体" w:eastAsia="黑体" w:cs="黑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2" w:hRule="atLeast"/>
        </w:trPr>
        <w:tc>
          <w:tcPr>
            <w:tcW w:w="824" w:type="dxa"/>
            <w:vMerge w:val="restart"/>
          </w:tcPr>
          <w:p>
            <w:pPr>
              <w:pStyle w:val="5"/>
              <w:rPr>
                <w:rFonts w:hint="eastAsia" w:ascii="黑体" w:hAnsi="黑体" w:eastAsia="黑体" w:cs="黑体"/>
                <w:sz w:val="20"/>
              </w:rPr>
            </w:pPr>
          </w:p>
        </w:tc>
        <w:tc>
          <w:tcPr>
            <w:tcW w:w="1426" w:type="dxa"/>
            <w:vMerge w:val="restart"/>
          </w:tcPr>
          <w:p>
            <w:pPr>
              <w:pStyle w:val="5"/>
              <w:rPr>
                <w:rFonts w:hint="eastAsia" w:ascii="黑体" w:hAnsi="黑体" w:eastAsia="黑体" w:cs="黑体"/>
                <w:sz w:val="20"/>
              </w:rPr>
            </w:pPr>
          </w:p>
        </w:tc>
        <w:tc>
          <w:tcPr>
            <w:tcW w:w="1627" w:type="dxa"/>
          </w:tcPr>
          <w:p>
            <w:pPr>
              <w:pStyle w:val="5"/>
              <w:rPr>
                <w:rFonts w:hint="eastAsia" w:ascii="黑体" w:hAnsi="黑体" w:eastAsia="黑体" w:cs="黑体"/>
                <w:sz w:val="20"/>
              </w:rPr>
            </w:pPr>
          </w:p>
        </w:tc>
        <w:tc>
          <w:tcPr>
            <w:tcW w:w="7703" w:type="dxa"/>
          </w:tcPr>
          <w:p>
            <w:pPr>
              <w:pStyle w:val="5"/>
              <w:spacing w:before="14" w:line="213" w:lineRule="auto"/>
              <w:ind w:left="107" w:right="169"/>
              <w:jc w:val="both"/>
              <w:rPr>
                <w:rFonts w:hint="eastAsia" w:ascii="黑体" w:hAnsi="黑体" w:eastAsia="黑体" w:cs="黑体"/>
                <w:sz w:val="21"/>
              </w:rPr>
            </w:pPr>
            <w:r>
              <w:rPr>
                <w:rFonts w:hint="eastAsia" w:ascii="黑体" w:hAnsi="黑体" w:eastAsia="黑体" w:cs="黑体"/>
                <w:spacing w:val="-6"/>
                <w:sz w:val="21"/>
              </w:rPr>
              <w:t>同一作业区域内有两个以上施工单位进行交叉作业，应组织并监督施工单位之间签订安全生产协议，明确各自的安全生产管理职责和应当采取的安全措施，并指定专</w:t>
            </w:r>
            <w:r>
              <w:rPr>
                <w:rFonts w:hint="eastAsia" w:ascii="黑体" w:hAnsi="黑体" w:eastAsia="黑体" w:cs="黑体"/>
                <w:spacing w:val="-2"/>
                <w:sz w:val="21"/>
              </w:rPr>
              <w:t>职安全生产管理人员进行安全检查与协调。</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2" w:hRule="atLeast"/>
        </w:trPr>
        <w:tc>
          <w:tcPr>
            <w:tcW w:w="824" w:type="dxa"/>
            <w:vMerge w:val="continue"/>
            <w:tcBorders>
              <w:top w:val="nil"/>
            </w:tcBorders>
          </w:tcPr>
          <w:p>
            <w:pPr>
              <w:rPr>
                <w:rFonts w:hint="eastAsia" w:ascii="黑体" w:hAnsi="黑体" w:eastAsia="黑体" w:cs="黑体"/>
                <w:sz w:val="2"/>
                <w:szCs w:val="2"/>
              </w:rPr>
            </w:pPr>
          </w:p>
        </w:tc>
        <w:tc>
          <w:tcPr>
            <w:tcW w:w="1426" w:type="dxa"/>
            <w:vMerge w:val="continue"/>
            <w:tcBorders>
              <w:top w:val="nil"/>
            </w:tcBorders>
          </w:tcPr>
          <w:p>
            <w:pPr>
              <w:rPr>
                <w:rFonts w:hint="eastAsia" w:ascii="黑体" w:hAnsi="黑体" w:eastAsia="黑体" w:cs="黑体"/>
                <w:sz w:val="2"/>
                <w:szCs w:val="2"/>
              </w:rPr>
            </w:pPr>
          </w:p>
        </w:tc>
        <w:tc>
          <w:tcPr>
            <w:tcW w:w="1627" w:type="dxa"/>
            <w:vMerge w:val="restart"/>
          </w:tcPr>
          <w:p>
            <w:pPr>
              <w:pStyle w:val="5"/>
              <w:spacing w:before="1"/>
              <w:rPr>
                <w:rFonts w:hint="eastAsia" w:ascii="黑体" w:hAnsi="黑体" w:eastAsia="黑体" w:cs="黑体"/>
                <w:sz w:val="28"/>
              </w:rPr>
            </w:pPr>
          </w:p>
          <w:p>
            <w:pPr>
              <w:pStyle w:val="5"/>
              <w:ind w:left="299"/>
              <w:rPr>
                <w:rFonts w:hint="eastAsia" w:ascii="黑体" w:hAnsi="黑体" w:eastAsia="黑体" w:cs="黑体"/>
                <w:sz w:val="21"/>
              </w:rPr>
            </w:pPr>
            <w:r>
              <w:rPr>
                <w:rFonts w:hint="eastAsia" w:ascii="黑体" w:hAnsi="黑体" w:eastAsia="黑体" w:cs="黑体"/>
                <w:spacing w:val="-7"/>
                <w:sz w:val="21"/>
              </w:rPr>
              <w:t>相关方管理</w:t>
            </w:r>
          </w:p>
        </w:tc>
        <w:tc>
          <w:tcPr>
            <w:tcW w:w="7703" w:type="dxa"/>
          </w:tcPr>
          <w:p>
            <w:pPr>
              <w:pStyle w:val="5"/>
              <w:spacing w:before="14" w:line="213" w:lineRule="auto"/>
              <w:ind w:left="107" w:right="169"/>
              <w:jc w:val="both"/>
              <w:rPr>
                <w:rFonts w:hint="eastAsia" w:ascii="黑体" w:hAnsi="黑体" w:eastAsia="黑体" w:cs="黑体"/>
                <w:sz w:val="21"/>
              </w:rPr>
            </w:pPr>
            <w:r>
              <w:rPr>
                <w:rFonts w:hint="eastAsia" w:ascii="黑体" w:hAnsi="黑体" w:eastAsia="黑体" w:cs="黑体"/>
                <w:spacing w:val="-6"/>
                <w:sz w:val="21"/>
              </w:rPr>
              <w:t>燃气工程施工方、监理、材料及设备供应方、劳务外包、专项工程外包等相关方应具有相应的资质，相关方人员资质、证件等符合工作的要求且在有效期内，对相关</w:t>
            </w:r>
            <w:r>
              <w:rPr>
                <w:rFonts w:hint="eastAsia" w:ascii="黑体" w:hAnsi="黑体" w:eastAsia="黑体" w:cs="黑体"/>
                <w:spacing w:val="-2"/>
                <w:sz w:val="21"/>
              </w:rPr>
              <w:t>方准入与安全资质进行审查。</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1" w:hRule="atLeast"/>
        </w:trPr>
        <w:tc>
          <w:tcPr>
            <w:tcW w:w="824" w:type="dxa"/>
            <w:vMerge w:val="continue"/>
            <w:tcBorders>
              <w:top w:val="nil"/>
            </w:tcBorders>
          </w:tcPr>
          <w:p>
            <w:pPr>
              <w:rPr>
                <w:rFonts w:hint="eastAsia" w:ascii="黑体" w:hAnsi="黑体" w:eastAsia="黑体" w:cs="黑体"/>
                <w:sz w:val="2"/>
                <w:szCs w:val="2"/>
              </w:rPr>
            </w:pPr>
          </w:p>
        </w:tc>
        <w:tc>
          <w:tcPr>
            <w:tcW w:w="1426" w:type="dxa"/>
            <w:vMerge w:val="continue"/>
            <w:tcBorders>
              <w:top w:val="nil"/>
            </w:tcBorders>
          </w:tcPr>
          <w:p>
            <w:pPr>
              <w:rPr>
                <w:rFonts w:hint="eastAsia" w:ascii="黑体" w:hAnsi="黑体" w:eastAsia="黑体" w:cs="黑体"/>
                <w:sz w:val="2"/>
                <w:szCs w:val="2"/>
              </w:rPr>
            </w:pPr>
          </w:p>
        </w:tc>
        <w:tc>
          <w:tcPr>
            <w:tcW w:w="1627" w:type="dxa"/>
            <w:vMerge w:val="continue"/>
            <w:tcBorders>
              <w:top w:val="nil"/>
            </w:tcBorders>
          </w:tcPr>
          <w:p>
            <w:pPr>
              <w:rPr>
                <w:rFonts w:hint="eastAsia" w:ascii="黑体" w:hAnsi="黑体" w:eastAsia="黑体" w:cs="黑体"/>
                <w:sz w:val="2"/>
                <w:szCs w:val="2"/>
              </w:rPr>
            </w:pPr>
          </w:p>
        </w:tc>
        <w:tc>
          <w:tcPr>
            <w:tcW w:w="7703" w:type="dxa"/>
          </w:tcPr>
          <w:p>
            <w:pPr>
              <w:pStyle w:val="5"/>
              <w:spacing w:before="14" w:line="213" w:lineRule="auto"/>
              <w:ind w:left="107" w:right="169"/>
              <w:rPr>
                <w:rFonts w:hint="eastAsia" w:ascii="黑体" w:hAnsi="黑体" w:eastAsia="黑体" w:cs="黑体"/>
                <w:sz w:val="21"/>
              </w:rPr>
            </w:pPr>
            <w:r>
              <w:rPr>
                <w:rFonts w:hint="eastAsia" w:ascii="黑体" w:hAnsi="黑体" w:eastAsia="黑体" w:cs="黑体"/>
                <w:spacing w:val="-6"/>
                <w:sz w:val="21"/>
              </w:rPr>
              <w:t>与相关方签订安全管理协议，明确双方安全管理责任；履行对相关方的安全监督管</w:t>
            </w:r>
            <w:r>
              <w:rPr>
                <w:rFonts w:hint="eastAsia" w:ascii="黑体" w:hAnsi="黑体" w:eastAsia="黑体" w:cs="黑体"/>
                <w:spacing w:val="-4"/>
                <w:sz w:val="21"/>
              </w:rPr>
              <w:t>理责任。</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824" w:type="dxa"/>
            <w:vMerge w:val="restart"/>
          </w:tcPr>
          <w:p>
            <w:pPr>
              <w:pStyle w:val="5"/>
              <w:spacing w:before="7"/>
              <w:rPr>
                <w:rFonts w:hint="eastAsia" w:ascii="黑体" w:hAnsi="黑体" w:eastAsia="黑体" w:cs="黑体"/>
                <w:sz w:val="32"/>
              </w:rPr>
            </w:pPr>
          </w:p>
          <w:p>
            <w:pPr>
              <w:pStyle w:val="5"/>
              <w:spacing w:before="1"/>
              <w:ind w:left="7"/>
              <w:jc w:val="center"/>
              <w:rPr>
                <w:rFonts w:hint="eastAsia" w:ascii="黑体" w:hAnsi="黑体" w:eastAsia="黑体" w:cs="黑体"/>
                <w:sz w:val="21"/>
              </w:rPr>
            </w:pPr>
            <w:r>
              <w:rPr>
                <w:rFonts w:hint="eastAsia" w:ascii="黑体" w:hAnsi="黑体" w:eastAsia="黑体" w:cs="黑体"/>
                <w:w w:val="99"/>
                <w:sz w:val="21"/>
              </w:rPr>
              <w:t>9</w:t>
            </w:r>
          </w:p>
        </w:tc>
        <w:tc>
          <w:tcPr>
            <w:tcW w:w="1426" w:type="dxa"/>
            <w:vMerge w:val="restart"/>
          </w:tcPr>
          <w:p>
            <w:pPr>
              <w:pStyle w:val="5"/>
              <w:spacing w:before="5"/>
              <w:rPr>
                <w:rFonts w:hint="eastAsia" w:ascii="黑体" w:hAnsi="黑体" w:eastAsia="黑体" w:cs="黑体"/>
                <w:sz w:val="24"/>
              </w:rPr>
            </w:pPr>
          </w:p>
          <w:p>
            <w:pPr>
              <w:pStyle w:val="5"/>
              <w:spacing w:line="213" w:lineRule="auto"/>
              <w:ind w:left="609" w:right="184" w:hanging="413"/>
              <w:rPr>
                <w:rFonts w:hint="eastAsia" w:ascii="黑体" w:hAnsi="黑体" w:eastAsia="黑体" w:cs="黑体"/>
                <w:sz w:val="21"/>
              </w:rPr>
            </w:pPr>
            <w:r>
              <w:rPr>
                <w:rFonts w:hint="eastAsia" w:ascii="黑体" w:hAnsi="黑体" w:eastAsia="黑体" w:cs="黑体"/>
                <w:spacing w:val="-6"/>
                <w:sz w:val="21"/>
              </w:rPr>
              <w:t>隐患排查治</w:t>
            </w:r>
            <w:r>
              <w:rPr>
                <w:rFonts w:hint="eastAsia" w:ascii="黑体" w:hAnsi="黑体" w:eastAsia="黑体" w:cs="黑体"/>
                <w:spacing w:val="-10"/>
                <w:sz w:val="21"/>
              </w:rPr>
              <w:t>理</w:t>
            </w:r>
          </w:p>
        </w:tc>
        <w:tc>
          <w:tcPr>
            <w:tcW w:w="1627" w:type="dxa"/>
            <w:vMerge w:val="restart"/>
          </w:tcPr>
          <w:p>
            <w:pPr>
              <w:pStyle w:val="5"/>
              <w:spacing w:before="7"/>
              <w:rPr>
                <w:rFonts w:hint="eastAsia" w:ascii="黑体" w:hAnsi="黑体" w:eastAsia="黑体" w:cs="黑体"/>
                <w:sz w:val="21"/>
              </w:rPr>
            </w:pPr>
          </w:p>
          <w:p>
            <w:pPr>
              <w:pStyle w:val="5"/>
              <w:ind w:left="400"/>
              <w:rPr>
                <w:rFonts w:hint="eastAsia" w:ascii="黑体" w:hAnsi="黑体" w:eastAsia="黑体" w:cs="黑体"/>
                <w:sz w:val="21"/>
              </w:rPr>
            </w:pPr>
            <w:r>
              <w:rPr>
                <w:rFonts w:hint="eastAsia" w:ascii="黑体" w:hAnsi="黑体" w:eastAsia="黑体" w:cs="黑体"/>
                <w:spacing w:val="-8"/>
                <w:sz w:val="21"/>
              </w:rPr>
              <w:t>隐患排查</w:t>
            </w:r>
          </w:p>
        </w:tc>
        <w:tc>
          <w:tcPr>
            <w:tcW w:w="7703" w:type="dxa"/>
          </w:tcPr>
          <w:p>
            <w:pPr>
              <w:pStyle w:val="5"/>
              <w:spacing w:before="18" w:line="211" w:lineRule="auto"/>
              <w:ind w:left="107" w:right="169"/>
              <w:rPr>
                <w:rFonts w:hint="eastAsia" w:ascii="黑体" w:hAnsi="黑体" w:eastAsia="黑体" w:cs="黑体"/>
                <w:sz w:val="21"/>
              </w:rPr>
            </w:pPr>
            <w:r>
              <w:rPr>
                <w:rFonts w:hint="eastAsia" w:ascii="黑体" w:hAnsi="黑体" w:eastAsia="黑体" w:cs="黑体"/>
                <w:spacing w:val="-6"/>
                <w:sz w:val="21"/>
              </w:rPr>
              <w:t>组织制定各部门、岗位、场所、设备设施的隐患排查治理标准或排查清单，明确排</w:t>
            </w:r>
            <w:r>
              <w:rPr>
                <w:rFonts w:hint="eastAsia" w:ascii="黑体" w:hAnsi="黑体" w:eastAsia="黑体" w:cs="黑体"/>
                <w:spacing w:val="-2"/>
                <w:sz w:val="21"/>
              </w:rPr>
              <w:t>查的时限、范围、内容、频次和要求。</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1" w:hRule="atLeast"/>
        </w:trPr>
        <w:tc>
          <w:tcPr>
            <w:tcW w:w="824" w:type="dxa"/>
            <w:vMerge w:val="continue"/>
            <w:tcBorders>
              <w:top w:val="nil"/>
            </w:tcBorders>
          </w:tcPr>
          <w:p>
            <w:pPr>
              <w:rPr>
                <w:rFonts w:hint="eastAsia" w:ascii="黑体" w:hAnsi="黑体" w:eastAsia="黑体" w:cs="黑体"/>
                <w:sz w:val="2"/>
                <w:szCs w:val="2"/>
              </w:rPr>
            </w:pPr>
          </w:p>
        </w:tc>
        <w:tc>
          <w:tcPr>
            <w:tcW w:w="1426" w:type="dxa"/>
            <w:vMerge w:val="continue"/>
            <w:tcBorders>
              <w:top w:val="nil"/>
            </w:tcBorders>
          </w:tcPr>
          <w:p>
            <w:pPr>
              <w:rPr>
                <w:rFonts w:hint="eastAsia" w:ascii="黑体" w:hAnsi="黑体" w:eastAsia="黑体" w:cs="黑体"/>
                <w:sz w:val="2"/>
                <w:szCs w:val="2"/>
              </w:rPr>
            </w:pPr>
          </w:p>
        </w:tc>
        <w:tc>
          <w:tcPr>
            <w:tcW w:w="1627" w:type="dxa"/>
            <w:vMerge w:val="continue"/>
            <w:tcBorders>
              <w:top w:val="nil"/>
            </w:tcBorders>
          </w:tcPr>
          <w:p>
            <w:pPr>
              <w:rPr>
                <w:rFonts w:hint="eastAsia" w:ascii="黑体" w:hAnsi="黑体" w:eastAsia="黑体" w:cs="黑体"/>
                <w:sz w:val="2"/>
                <w:szCs w:val="2"/>
              </w:rPr>
            </w:pPr>
          </w:p>
        </w:tc>
        <w:tc>
          <w:tcPr>
            <w:tcW w:w="7703" w:type="dxa"/>
          </w:tcPr>
          <w:p>
            <w:pPr>
              <w:pStyle w:val="5"/>
              <w:spacing w:before="15" w:line="213" w:lineRule="auto"/>
              <w:ind w:left="107" w:right="169"/>
              <w:rPr>
                <w:rFonts w:hint="eastAsia" w:ascii="黑体" w:hAnsi="黑体" w:eastAsia="黑体" w:cs="黑体"/>
                <w:sz w:val="21"/>
              </w:rPr>
            </w:pPr>
            <w:r>
              <w:rPr>
                <w:rFonts w:hint="eastAsia" w:ascii="黑体" w:hAnsi="黑体" w:eastAsia="黑体" w:cs="黑体"/>
                <w:spacing w:val="-6"/>
                <w:sz w:val="21"/>
              </w:rPr>
              <w:t>编制并落实安全检查计划，组织开展专项安全生产检查、季节性专项检查、节假日</w:t>
            </w:r>
            <w:r>
              <w:rPr>
                <w:rFonts w:hint="eastAsia" w:ascii="黑体" w:hAnsi="黑体" w:eastAsia="黑体" w:cs="黑体"/>
                <w:spacing w:val="-2"/>
                <w:sz w:val="21"/>
              </w:rPr>
              <w:t>专项检查、事故专项检查。</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824" w:type="dxa"/>
            <w:vMerge w:val="continue"/>
            <w:tcBorders>
              <w:top w:val="nil"/>
            </w:tcBorders>
          </w:tcPr>
          <w:p>
            <w:pPr>
              <w:rPr>
                <w:rFonts w:hint="eastAsia" w:ascii="黑体" w:hAnsi="黑体" w:eastAsia="黑体" w:cs="黑体"/>
                <w:sz w:val="2"/>
                <w:szCs w:val="2"/>
              </w:rPr>
            </w:pPr>
          </w:p>
        </w:tc>
        <w:tc>
          <w:tcPr>
            <w:tcW w:w="1426" w:type="dxa"/>
            <w:vMerge w:val="continue"/>
            <w:tcBorders>
              <w:top w:val="nil"/>
            </w:tcBorders>
          </w:tcPr>
          <w:p>
            <w:pPr>
              <w:rPr>
                <w:rFonts w:hint="eastAsia" w:ascii="黑体" w:hAnsi="黑体" w:eastAsia="黑体" w:cs="黑体"/>
                <w:sz w:val="2"/>
                <w:szCs w:val="2"/>
              </w:rPr>
            </w:pPr>
          </w:p>
        </w:tc>
        <w:tc>
          <w:tcPr>
            <w:tcW w:w="1627" w:type="dxa"/>
          </w:tcPr>
          <w:p>
            <w:pPr>
              <w:pStyle w:val="5"/>
              <w:spacing w:line="296" w:lineRule="exact"/>
              <w:ind w:left="181" w:right="172"/>
              <w:jc w:val="center"/>
              <w:rPr>
                <w:rFonts w:hint="eastAsia" w:ascii="黑体" w:hAnsi="黑体" w:eastAsia="黑体" w:cs="黑体"/>
                <w:sz w:val="21"/>
              </w:rPr>
            </w:pPr>
            <w:r>
              <w:rPr>
                <w:rFonts w:hint="eastAsia" w:ascii="黑体" w:hAnsi="黑体" w:eastAsia="黑体" w:cs="黑体"/>
                <w:spacing w:val="-8"/>
                <w:sz w:val="21"/>
              </w:rPr>
              <w:t>隐患整治</w:t>
            </w:r>
          </w:p>
        </w:tc>
        <w:tc>
          <w:tcPr>
            <w:tcW w:w="7703" w:type="dxa"/>
          </w:tcPr>
          <w:p>
            <w:pPr>
              <w:pStyle w:val="5"/>
              <w:spacing w:line="296" w:lineRule="exact"/>
              <w:ind w:left="107"/>
              <w:rPr>
                <w:rFonts w:hint="eastAsia" w:ascii="黑体" w:hAnsi="黑体" w:eastAsia="黑体" w:cs="黑体"/>
                <w:sz w:val="21"/>
              </w:rPr>
            </w:pPr>
            <w:r>
              <w:rPr>
                <w:rFonts w:hint="eastAsia" w:ascii="黑体" w:hAnsi="黑体" w:eastAsia="黑体" w:cs="黑体"/>
                <w:spacing w:val="-7"/>
                <w:sz w:val="21"/>
              </w:rPr>
              <w:t>对排查出的事故隐患，制定并落实整治措施，确保完全消除隐患，形成闭环。</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2" w:hRule="atLeast"/>
        </w:trPr>
        <w:tc>
          <w:tcPr>
            <w:tcW w:w="824" w:type="dxa"/>
            <w:vMerge w:val="restart"/>
          </w:tcPr>
          <w:p>
            <w:pPr>
              <w:pStyle w:val="5"/>
              <w:rPr>
                <w:rFonts w:hint="eastAsia" w:ascii="黑体" w:hAnsi="黑体" w:eastAsia="黑体" w:cs="黑体"/>
                <w:sz w:val="22"/>
              </w:rPr>
            </w:pPr>
          </w:p>
          <w:p>
            <w:pPr>
              <w:pStyle w:val="5"/>
              <w:rPr>
                <w:rFonts w:hint="eastAsia" w:ascii="黑体" w:hAnsi="黑体" w:eastAsia="黑体" w:cs="黑体"/>
                <w:sz w:val="24"/>
              </w:rPr>
            </w:pPr>
          </w:p>
          <w:p>
            <w:pPr>
              <w:pStyle w:val="5"/>
              <w:ind w:left="292" w:right="282"/>
              <w:jc w:val="center"/>
              <w:rPr>
                <w:rFonts w:hint="eastAsia" w:ascii="黑体" w:hAnsi="黑体" w:eastAsia="黑体" w:cs="黑体"/>
                <w:sz w:val="21"/>
              </w:rPr>
            </w:pPr>
            <w:r>
              <w:rPr>
                <w:rFonts w:hint="eastAsia" w:ascii="黑体" w:hAnsi="黑体" w:eastAsia="黑体" w:cs="黑体"/>
                <w:spacing w:val="-5"/>
                <w:sz w:val="21"/>
              </w:rPr>
              <w:t>10</w:t>
            </w:r>
          </w:p>
        </w:tc>
        <w:tc>
          <w:tcPr>
            <w:tcW w:w="1426" w:type="dxa"/>
            <w:vMerge w:val="restart"/>
          </w:tcPr>
          <w:p>
            <w:pPr>
              <w:pStyle w:val="5"/>
              <w:rPr>
                <w:rFonts w:hint="eastAsia" w:ascii="黑体" w:hAnsi="黑体" w:eastAsia="黑体" w:cs="黑体"/>
                <w:sz w:val="20"/>
              </w:rPr>
            </w:pPr>
          </w:p>
          <w:p>
            <w:pPr>
              <w:pStyle w:val="5"/>
              <w:rPr>
                <w:rFonts w:hint="eastAsia" w:ascii="黑体" w:hAnsi="黑体" w:eastAsia="黑体" w:cs="黑体"/>
                <w:sz w:val="18"/>
              </w:rPr>
            </w:pPr>
          </w:p>
          <w:p>
            <w:pPr>
              <w:pStyle w:val="5"/>
              <w:spacing w:line="211" w:lineRule="auto"/>
              <w:ind w:left="609" w:right="184" w:hanging="413"/>
              <w:rPr>
                <w:rFonts w:hint="eastAsia" w:ascii="黑体" w:hAnsi="黑体" w:eastAsia="黑体" w:cs="黑体"/>
                <w:sz w:val="21"/>
              </w:rPr>
            </w:pPr>
            <w:r>
              <w:rPr>
                <w:rFonts w:hint="eastAsia" w:ascii="黑体" w:hAnsi="黑体" w:eastAsia="黑体" w:cs="黑体"/>
                <w:spacing w:val="-6"/>
                <w:sz w:val="21"/>
              </w:rPr>
              <w:t>应急救援机</w:t>
            </w:r>
            <w:r>
              <w:rPr>
                <w:rFonts w:hint="eastAsia" w:ascii="黑体" w:hAnsi="黑体" w:eastAsia="黑体" w:cs="黑体"/>
                <w:spacing w:val="-10"/>
                <w:sz w:val="21"/>
              </w:rPr>
              <w:t>制</w:t>
            </w:r>
          </w:p>
        </w:tc>
        <w:tc>
          <w:tcPr>
            <w:tcW w:w="1627" w:type="dxa"/>
            <w:vMerge w:val="restart"/>
          </w:tcPr>
          <w:p>
            <w:pPr>
              <w:pStyle w:val="5"/>
              <w:spacing w:before="1"/>
              <w:rPr>
                <w:rFonts w:hint="eastAsia" w:ascii="黑体" w:hAnsi="黑体" w:eastAsia="黑体" w:cs="黑体"/>
                <w:sz w:val="28"/>
              </w:rPr>
            </w:pPr>
          </w:p>
          <w:p>
            <w:pPr>
              <w:pStyle w:val="5"/>
              <w:ind w:left="400"/>
              <w:rPr>
                <w:rFonts w:hint="eastAsia" w:ascii="黑体" w:hAnsi="黑体" w:eastAsia="黑体" w:cs="黑体"/>
                <w:sz w:val="21"/>
              </w:rPr>
            </w:pPr>
            <w:r>
              <w:rPr>
                <w:rFonts w:hint="eastAsia" w:ascii="黑体" w:hAnsi="黑体" w:eastAsia="黑体" w:cs="黑体"/>
                <w:spacing w:val="-8"/>
                <w:sz w:val="21"/>
              </w:rPr>
              <w:t>应急预案</w:t>
            </w:r>
          </w:p>
        </w:tc>
        <w:tc>
          <w:tcPr>
            <w:tcW w:w="7703" w:type="dxa"/>
          </w:tcPr>
          <w:p>
            <w:pPr>
              <w:pStyle w:val="5"/>
              <w:spacing w:before="16" w:line="213" w:lineRule="auto"/>
              <w:ind w:left="107" w:right="92"/>
              <w:rPr>
                <w:rFonts w:hint="eastAsia" w:ascii="黑体" w:hAnsi="黑体" w:eastAsia="黑体" w:cs="黑体"/>
                <w:sz w:val="21"/>
              </w:rPr>
            </w:pPr>
            <w:r>
              <w:rPr>
                <w:rFonts w:hint="eastAsia" w:ascii="黑体" w:hAnsi="黑体" w:eastAsia="黑体" w:cs="黑体"/>
                <w:spacing w:val="-4"/>
                <w:sz w:val="21"/>
              </w:rPr>
              <w:t>在应急资源调查和应急能力评估的基础上，制定符合企业实际的应急救援预案（综</w:t>
            </w:r>
            <w:r>
              <w:rPr>
                <w:rFonts w:hint="eastAsia" w:ascii="黑体" w:hAnsi="黑体" w:eastAsia="黑体" w:cs="黑体"/>
                <w:spacing w:val="-6"/>
                <w:sz w:val="21"/>
              </w:rPr>
              <w:t>合应急预案、专项应急预案、现场处置方案</w:t>
            </w:r>
            <w:r>
              <w:rPr>
                <w:rFonts w:hint="eastAsia" w:ascii="黑体" w:hAnsi="黑体" w:eastAsia="黑体" w:cs="黑体"/>
                <w:spacing w:val="-58"/>
                <w:sz w:val="21"/>
              </w:rPr>
              <w:t>）</w:t>
            </w:r>
            <w:r>
              <w:rPr>
                <w:rFonts w:hint="eastAsia" w:ascii="黑体" w:hAnsi="黑体" w:eastAsia="黑体" w:cs="黑体"/>
                <w:spacing w:val="-14"/>
                <w:sz w:val="21"/>
              </w:rPr>
              <w:t>；按规定报送应急管理部门备案，向行</w:t>
            </w:r>
            <w:r>
              <w:rPr>
                <w:rFonts w:hint="eastAsia" w:ascii="黑体" w:hAnsi="黑体" w:eastAsia="黑体" w:cs="黑体"/>
                <w:spacing w:val="-2"/>
                <w:sz w:val="21"/>
              </w:rPr>
              <w:t>业主管部门报备。</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1" w:hRule="atLeast"/>
        </w:trPr>
        <w:tc>
          <w:tcPr>
            <w:tcW w:w="824" w:type="dxa"/>
            <w:vMerge w:val="continue"/>
            <w:tcBorders>
              <w:top w:val="nil"/>
            </w:tcBorders>
          </w:tcPr>
          <w:p>
            <w:pPr>
              <w:rPr>
                <w:rFonts w:hint="eastAsia" w:ascii="黑体" w:hAnsi="黑体" w:eastAsia="黑体" w:cs="黑体"/>
                <w:sz w:val="2"/>
                <w:szCs w:val="2"/>
              </w:rPr>
            </w:pPr>
          </w:p>
        </w:tc>
        <w:tc>
          <w:tcPr>
            <w:tcW w:w="1426" w:type="dxa"/>
            <w:vMerge w:val="continue"/>
            <w:tcBorders>
              <w:top w:val="nil"/>
            </w:tcBorders>
          </w:tcPr>
          <w:p>
            <w:pPr>
              <w:rPr>
                <w:rFonts w:hint="eastAsia" w:ascii="黑体" w:hAnsi="黑体" w:eastAsia="黑体" w:cs="黑体"/>
                <w:sz w:val="2"/>
                <w:szCs w:val="2"/>
              </w:rPr>
            </w:pPr>
          </w:p>
        </w:tc>
        <w:tc>
          <w:tcPr>
            <w:tcW w:w="1627" w:type="dxa"/>
            <w:vMerge w:val="continue"/>
            <w:tcBorders>
              <w:top w:val="nil"/>
            </w:tcBorders>
          </w:tcPr>
          <w:p>
            <w:pPr>
              <w:rPr>
                <w:rFonts w:hint="eastAsia" w:ascii="黑体" w:hAnsi="黑体" w:eastAsia="黑体" w:cs="黑体"/>
                <w:sz w:val="2"/>
                <w:szCs w:val="2"/>
              </w:rPr>
            </w:pPr>
          </w:p>
        </w:tc>
        <w:tc>
          <w:tcPr>
            <w:tcW w:w="7703" w:type="dxa"/>
          </w:tcPr>
          <w:p>
            <w:pPr>
              <w:pStyle w:val="5"/>
              <w:spacing w:before="19" w:line="211" w:lineRule="auto"/>
              <w:ind w:left="107" w:right="169"/>
              <w:rPr>
                <w:rFonts w:hint="eastAsia" w:ascii="黑体" w:hAnsi="黑体" w:eastAsia="黑体" w:cs="黑体"/>
                <w:sz w:val="21"/>
              </w:rPr>
            </w:pPr>
            <w:r>
              <w:rPr>
                <w:rFonts w:hint="eastAsia" w:ascii="黑体" w:hAnsi="黑体" w:eastAsia="黑体" w:cs="黑体"/>
                <w:spacing w:val="-5"/>
                <w:sz w:val="21"/>
              </w:rPr>
              <w:t xml:space="preserve">对应急预案进行宣贯培训，每半年组织 </w:t>
            </w:r>
            <w:r>
              <w:rPr>
                <w:rFonts w:hint="eastAsia" w:ascii="黑体" w:hAnsi="黑体" w:eastAsia="黑体" w:cs="黑体"/>
                <w:spacing w:val="-4"/>
                <w:sz w:val="21"/>
              </w:rPr>
              <w:t>1</w:t>
            </w:r>
            <w:r>
              <w:rPr>
                <w:rFonts w:hint="eastAsia" w:ascii="黑体" w:hAnsi="黑体" w:eastAsia="黑体" w:cs="黑体"/>
                <w:spacing w:val="-10"/>
                <w:sz w:val="21"/>
              </w:rPr>
              <w:t xml:space="preserve"> </w:t>
            </w:r>
            <w:r>
              <w:rPr>
                <w:rFonts w:hint="eastAsia" w:ascii="黑体" w:hAnsi="黑体" w:eastAsia="黑体" w:cs="黑体"/>
                <w:spacing w:val="-4"/>
                <w:sz w:val="21"/>
              </w:rPr>
              <w:t>次生产安全事故应急救援预案演练；应急</w:t>
            </w:r>
            <w:r>
              <w:rPr>
                <w:rFonts w:hint="eastAsia" w:ascii="黑体" w:hAnsi="黑体" w:eastAsia="黑体" w:cs="黑体"/>
                <w:spacing w:val="-2"/>
                <w:sz w:val="21"/>
              </w:rPr>
              <w:t>预案应定期评估，实时修订。</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8" w:hRule="atLeast"/>
        </w:trPr>
        <w:tc>
          <w:tcPr>
            <w:tcW w:w="824" w:type="dxa"/>
            <w:vMerge w:val="continue"/>
            <w:tcBorders>
              <w:top w:val="nil"/>
            </w:tcBorders>
          </w:tcPr>
          <w:p>
            <w:pPr>
              <w:rPr>
                <w:rFonts w:hint="eastAsia" w:ascii="黑体" w:hAnsi="黑体" w:eastAsia="黑体" w:cs="黑体"/>
                <w:sz w:val="2"/>
                <w:szCs w:val="2"/>
              </w:rPr>
            </w:pPr>
          </w:p>
        </w:tc>
        <w:tc>
          <w:tcPr>
            <w:tcW w:w="1426" w:type="dxa"/>
            <w:vMerge w:val="continue"/>
            <w:tcBorders>
              <w:top w:val="nil"/>
            </w:tcBorders>
          </w:tcPr>
          <w:p>
            <w:pPr>
              <w:rPr>
                <w:rFonts w:hint="eastAsia" w:ascii="黑体" w:hAnsi="黑体" w:eastAsia="黑体" w:cs="黑体"/>
                <w:sz w:val="2"/>
                <w:szCs w:val="2"/>
              </w:rPr>
            </w:pPr>
          </w:p>
        </w:tc>
        <w:tc>
          <w:tcPr>
            <w:tcW w:w="1627" w:type="dxa"/>
          </w:tcPr>
          <w:p>
            <w:pPr>
              <w:pStyle w:val="5"/>
              <w:spacing w:before="124"/>
              <w:ind w:left="186" w:right="172"/>
              <w:jc w:val="center"/>
              <w:rPr>
                <w:rFonts w:hint="eastAsia" w:ascii="黑体" w:hAnsi="黑体" w:eastAsia="黑体" w:cs="黑体"/>
                <w:sz w:val="21"/>
              </w:rPr>
            </w:pPr>
            <w:r>
              <w:rPr>
                <w:rFonts w:hint="eastAsia" w:ascii="黑体" w:hAnsi="黑体" w:eastAsia="黑体" w:cs="黑体"/>
                <w:spacing w:val="-7"/>
                <w:sz w:val="21"/>
              </w:rPr>
              <w:t>应急能力建设</w:t>
            </w:r>
          </w:p>
        </w:tc>
        <w:tc>
          <w:tcPr>
            <w:tcW w:w="7703" w:type="dxa"/>
          </w:tcPr>
          <w:p>
            <w:pPr>
              <w:pStyle w:val="5"/>
              <w:spacing w:before="15" w:line="213" w:lineRule="auto"/>
              <w:ind w:left="107" w:right="-15"/>
              <w:rPr>
                <w:rFonts w:hint="eastAsia" w:ascii="黑体" w:hAnsi="黑体" w:eastAsia="黑体" w:cs="黑体"/>
                <w:sz w:val="21"/>
              </w:rPr>
            </w:pPr>
            <w:r>
              <w:rPr>
                <w:rFonts w:hint="eastAsia" w:ascii="黑体" w:hAnsi="黑体" w:eastAsia="黑体" w:cs="黑体"/>
                <w:spacing w:val="-6"/>
                <w:sz w:val="21"/>
              </w:rPr>
              <w:t>建立应急组织、机构，明确各应急岗位人员，明确重要应急指挥人员的临时接替人；</w:t>
            </w:r>
            <w:r>
              <w:rPr>
                <w:rFonts w:hint="eastAsia" w:ascii="黑体" w:hAnsi="黑体" w:eastAsia="黑体" w:cs="黑体"/>
                <w:spacing w:val="-2"/>
                <w:sz w:val="21"/>
              </w:rPr>
              <w:t>应急组织机构人员名单、联系方式等应即时更新。</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bl>
    <w:p>
      <w:pPr>
        <w:spacing w:after="0"/>
        <w:rPr>
          <w:rFonts w:hint="eastAsia" w:ascii="黑体" w:hAnsi="黑体" w:eastAsia="黑体" w:cs="黑体"/>
          <w:sz w:val="20"/>
        </w:rPr>
        <w:sectPr>
          <w:pgSz w:w="16840" w:h="11910" w:orient="landscape"/>
          <w:pgMar w:top="1340" w:right="920" w:bottom="1840" w:left="920" w:header="0" w:footer="1654" w:gutter="0"/>
          <w:cols w:space="720" w:num="1"/>
        </w:sectPr>
      </w:pPr>
    </w:p>
    <w:p>
      <w:pPr>
        <w:pStyle w:val="2"/>
        <w:rPr>
          <w:rFonts w:hint="eastAsia" w:ascii="黑体" w:hAnsi="黑体" w:eastAsia="黑体" w:cs="黑体"/>
          <w:sz w:val="12"/>
        </w:rPr>
      </w:pPr>
    </w:p>
    <w:tbl>
      <w:tblPr>
        <w:tblStyle w:val="3"/>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1426"/>
        <w:gridCol w:w="1627"/>
        <w:gridCol w:w="7703"/>
        <w:gridCol w:w="1842"/>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6" w:hRule="atLeast"/>
        </w:trPr>
        <w:tc>
          <w:tcPr>
            <w:tcW w:w="824" w:type="dxa"/>
            <w:vMerge w:val="restart"/>
          </w:tcPr>
          <w:p>
            <w:pPr>
              <w:pStyle w:val="5"/>
              <w:spacing w:before="10"/>
              <w:rPr>
                <w:rFonts w:hint="eastAsia" w:ascii="黑体" w:hAnsi="黑体" w:eastAsia="黑体" w:cs="黑体"/>
                <w:sz w:val="22"/>
              </w:rPr>
            </w:pPr>
          </w:p>
          <w:p>
            <w:pPr>
              <w:pStyle w:val="5"/>
              <w:spacing w:before="1"/>
              <w:ind w:left="204"/>
              <w:rPr>
                <w:rFonts w:hint="eastAsia" w:ascii="黑体" w:hAnsi="黑体" w:eastAsia="黑体" w:cs="黑体"/>
                <w:sz w:val="21"/>
              </w:rPr>
            </w:pPr>
            <w:r>
              <w:rPr>
                <w:rFonts w:hint="eastAsia" w:ascii="黑体" w:hAnsi="黑体" w:eastAsia="黑体" w:cs="黑体"/>
                <w:spacing w:val="-9"/>
                <w:sz w:val="21"/>
              </w:rPr>
              <w:t>序号</w:t>
            </w:r>
          </w:p>
        </w:tc>
        <w:tc>
          <w:tcPr>
            <w:tcW w:w="3053" w:type="dxa"/>
            <w:gridSpan w:val="2"/>
          </w:tcPr>
          <w:p>
            <w:pPr>
              <w:pStyle w:val="5"/>
              <w:spacing w:line="336" w:lineRule="exact"/>
              <w:ind w:left="1102" w:right="1092"/>
              <w:jc w:val="center"/>
              <w:rPr>
                <w:rFonts w:hint="eastAsia" w:ascii="黑体" w:hAnsi="黑体" w:eastAsia="黑体" w:cs="黑体"/>
                <w:sz w:val="21"/>
              </w:rPr>
            </w:pPr>
            <w:r>
              <w:rPr>
                <w:rFonts w:hint="eastAsia" w:ascii="黑体" w:hAnsi="黑体" w:eastAsia="黑体" w:cs="黑体"/>
                <w:spacing w:val="-8"/>
                <w:sz w:val="21"/>
              </w:rPr>
              <w:t>检查项目</w:t>
            </w:r>
          </w:p>
        </w:tc>
        <w:tc>
          <w:tcPr>
            <w:tcW w:w="7703" w:type="dxa"/>
            <w:vMerge w:val="restart"/>
          </w:tcPr>
          <w:p>
            <w:pPr>
              <w:pStyle w:val="5"/>
              <w:spacing w:before="10"/>
              <w:rPr>
                <w:rFonts w:hint="eastAsia" w:ascii="黑体" w:hAnsi="黑体" w:eastAsia="黑体" w:cs="黑体"/>
                <w:sz w:val="22"/>
              </w:rPr>
            </w:pPr>
          </w:p>
          <w:p>
            <w:pPr>
              <w:pStyle w:val="5"/>
              <w:spacing w:before="1"/>
              <w:ind w:left="3428" w:right="3417"/>
              <w:jc w:val="center"/>
              <w:rPr>
                <w:rFonts w:hint="eastAsia" w:ascii="黑体" w:hAnsi="黑体" w:eastAsia="黑体" w:cs="黑体"/>
                <w:sz w:val="21"/>
              </w:rPr>
            </w:pPr>
            <w:r>
              <w:rPr>
                <w:rFonts w:hint="eastAsia" w:ascii="黑体" w:hAnsi="黑体" w:eastAsia="黑体" w:cs="黑体"/>
                <w:spacing w:val="-8"/>
                <w:sz w:val="21"/>
              </w:rPr>
              <w:t>检查清单</w:t>
            </w:r>
          </w:p>
        </w:tc>
        <w:tc>
          <w:tcPr>
            <w:tcW w:w="1842" w:type="dxa"/>
            <w:vMerge w:val="restart"/>
          </w:tcPr>
          <w:p>
            <w:pPr>
              <w:pStyle w:val="5"/>
              <w:spacing w:line="305" w:lineRule="exact"/>
              <w:ind w:left="194" w:right="184"/>
              <w:jc w:val="center"/>
              <w:rPr>
                <w:rFonts w:hint="eastAsia" w:ascii="黑体" w:hAnsi="黑体" w:eastAsia="黑体" w:cs="黑体"/>
                <w:sz w:val="21"/>
              </w:rPr>
            </w:pPr>
            <w:r>
              <w:rPr>
                <w:rFonts w:hint="eastAsia" w:ascii="黑体" w:hAnsi="黑体" w:eastAsia="黑体" w:cs="黑体"/>
                <w:spacing w:val="-8"/>
                <w:sz w:val="21"/>
              </w:rPr>
              <w:t>责任人</w:t>
            </w:r>
          </w:p>
          <w:p>
            <w:pPr>
              <w:pStyle w:val="5"/>
              <w:spacing w:before="25" w:line="204" w:lineRule="auto"/>
              <w:ind w:left="200" w:right="184"/>
              <w:jc w:val="center"/>
              <w:rPr>
                <w:rFonts w:hint="eastAsia" w:ascii="黑体" w:hAnsi="黑体" w:eastAsia="黑体" w:cs="黑体"/>
                <w:sz w:val="21"/>
              </w:rPr>
            </w:pPr>
            <w:r>
              <w:rPr>
                <w:rFonts w:hint="eastAsia" w:ascii="黑体" w:hAnsi="黑体" w:eastAsia="黑体" w:cs="黑体"/>
                <w:spacing w:val="-6"/>
                <w:sz w:val="21"/>
              </w:rPr>
              <w:t>（明确到各岗位一线操作者具体</w:t>
            </w:r>
            <w:r>
              <w:rPr>
                <w:rFonts w:hint="eastAsia" w:ascii="黑体" w:hAnsi="黑体" w:eastAsia="黑体" w:cs="黑体"/>
                <w:spacing w:val="-4"/>
                <w:sz w:val="21"/>
              </w:rPr>
              <w:t>责任人）</w:t>
            </w:r>
          </w:p>
        </w:tc>
        <w:tc>
          <w:tcPr>
            <w:tcW w:w="1340" w:type="dxa"/>
            <w:vMerge w:val="restart"/>
          </w:tcPr>
          <w:p>
            <w:pPr>
              <w:pStyle w:val="5"/>
              <w:spacing w:before="164" w:line="289" w:lineRule="exact"/>
              <w:ind w:left="449" w:right="438"/>
              <w:jc w:val="center"/>
              <w:rPr>
                <w:rFonts w:hint="eastAsia" w:ascii="黑体" w:hAnsi="黑体" w:eastAsia="黑体" w:cs="黑体"/>
                <w:sz w:val="21"/>
              </w:rPr>
            </w:pPr>
            <w:r>
              <w:rPr>
                <w:rFonts w:hint="eastAsia" w:ascii="黑体" w:hAnsi="黑体" w:eastAsia="黑体" w:cs="黑体"/>
                <w:spacing w:val="-9"/>
                <w:sz w:val="21"/>
              </w:rPr>
              <w:t>备注</w:t>
            </w:r>
          </w:p>
          <w:p>
            <w:pPr>
              <w:pStyle w:val="5"/>
              <w:spacing w:before="9" w:line="213" w:lineRule="auto"/>
              <w:ind w:left="155" w:right="140"/>
              <w:jc w:val="both"/>
              <w:rPr>
                <w:rFonts w:hint="eastAsia" w:ascii="黑体" w:hAnsi="黑体" w:eastAsia="黑体" w:cs="黑体"/>
                <w:sz w:val="21"/>
              </w:rPr>
            </w:pPr>
            <w:r>
              <w:rPr>
                <w:rFonts w:hint="eastAsia" w:ascii="黑体" w:hAnsi="黑体" w:eastAsia="黑体" w:cs="黑体"/>
                <w:spacing w:val="-6"/>
                <w:sz w:val="21"/>
              </w:rPr>
              <w:t>（明确检查周期、抽查</w:t>
            </w:r>
            <w:r>
              <w:rPr>
                <w:rFonts w:hint="eastAsia" w:ascii="黑体" w:hAnsi="黑体" w:eastAsia="黑体" w:cs="黑体"/>
                <w:spacing w:val="-4"/>
                <w:sz w:val="21"/>
              </w:rPr>
              <w:t>比例等）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1" w:hRule="atLeast"/>
        </w:trPr>
        <w:tc>
          <w:tcPr>
            <w:tcW w:w="824" w:type="dxa"/>
            <w:vMerge w:val="continue"/>
            <w:tcBorders>
              <w:top w:val="nil"/>
            </w:tcBorders>
          </w:tcPr>
          <w:p>
            <w:pPr>
              <w:rPr>
                <w:rFonts w:hint="eastAsia" w:ascii="黑体" w:hAnsi="黑体" w:eastAsia="黑体" w:cs="黑体"/>
                <w:sz w:val="2"/>
                <w:szCs w:val="2"/>
              </w:rPr>
            </w:pPr>
          </w:p>
        </w:tc>
        <w:tc>
          <w:tcPr>
            <w:tcW w:w="1426" w:type="dxa"/>
          </w:tcPr>
          <w:p>
            <w:pPr>
              <w:pStyle w:val="5"/>
              <w:spacing w:before="239"/>
              <w:ind w:left="300"/>
              <w:rPr>
                <w:rFonts w:hint="eastAsia" w:ascii="黑体" w:hAnsi="黑体" w:eastAsia="黑体" w:cs="黑体"/>
                <w:sz w:val="21"/>
              </w:rPr>
            </w:pPr>
            <w:r>
              <w:rPr>
                <w:rFonts w:hint="eastAsia" w:ascii="黑体" w:hAnsi="黑体" w:eastAsia="黑体" w:cs="黑体"/>
                <w:spacing w:val="-8"/>
                <w:sz w:val="21"/>
              </w:rPr>
              <w:t>一级要素</w:t>
            </w:r>
          </w:p>
        </w:tc>
        <w:tc>
          <w:tcPr>
            <w:tcW w:w="1627" w:type="dxa"/>
          </w:tcPr>
          <w:p>
            <w:pPr>
              <w:pStyle w:val="5"/>
              <w:spacing w:before="239"/>
              <w:ind w:left="400"/>
              <w:rPr>
                <w:rFonts w:hint="eastAsia" w:ascii="黑体" w:hAnsi="黑体" w:eastAsia="黑体" w:cs="黑体"/>
                <w:sz w:val="21"/>
              </w:rPr>
            </w:pPr>
            <w:r>
              <w:rPr>
                <w:rFonts w:hint="eastAsia" w:ascii="黑体" w:hAnsi="黑体" w:eastAsia="黑体" w:cs="黑体"/>
                <w:spacing w:val="-8"/>
                <w:sz w:val="21"/>
              </w:rPr>
              <w:t>二级要素</w:t>
            </w:r>
          </w:p>
        </w:tc>
        <w:tc>
          <w:tcPr>
            <w:tcW w:w="7703" w:type="dxa"/>
            <w:vMerge w:val="continue"/>
            <w:tcBorders>
              <w:top w:val="nil"/>
            </w:tcBorders>
          </w:tcPr>
          <w:p>
            <w:pPr>
              <w:rPr>
                <w:rFonts w:hint="eastAsia" w:ascii="黑体" w:hAnsi="黑体" w:eastAsia="黑体" w:cs="黑体"/>
                <w:sz w:val="2"/>
                <w:szCs w:val="2"/>
              </w:rPr>
            </w:pPr>
          </w:p>
        </w:tc>
        <w:tc>
          <w:tcPr>
            <w:tcW w:w="1842" w:type="dxa"/>
            <w:vMerge w:val="continue"/>
            <w:tcBorders>
              <w:top w:val="nil"/>
            </w:tcBorders>
          </w:tcPr>
          <w:p>
            <w:pPr>
              <w:rPr>
                <w:rFonts w:hint="eastAsia" w:ascii="黑体" w:hAnsi="黑体" w:eastAsia="黑体" w:cs="黑体"/>
                <w:sz w:val="2"/>
                <w:szCs w:val="2"/>
              </w:rPr>
            </w:pPr>
          </w:p>
        </w:tc>
        <w:tc>
          <w:tcPr>
            <w:tcW w:w="1340" w:type="dxa"/>
            <w:vMerge w:val="continue"/>
            <w:tcBorders>
              <w:top w:val="nil"/>
            </w:tcBorders>
          </w:tcPr>
          <w:p>
            <w:pPr>
              <w:rPr>
                <w:rFonts w:hint="eastAsia" w:ascii="黑体" w:hAnsi="黑体" w:eastAsia="黑体" w:cs="黑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2" w:hRule="atLeast"/>
        </w:trPr>
        <w:tc>
          <w:tcPr>
            <w:tcW w:w="824" w:type="dxa"/>
            <w:vMerge w:val="restart"/>
          </w:tcPr>
          <w:p>
            <w:pPr>
              <w:pStyle w:val="5"/>
              <w:rPr>
                <w:rFonts w:hint="eastAsia" w:ascii="黑体" w:hAnsi="黑体" w:eastAsia="黑体" w:cs="黑体"/>
                <w:sz w:val="20"/>
              </w:rPr>
            </w:pPr>
          </w:p>
        </w:tc>
        <w:tc>
          <w:tcPr>
            <w:tcW w:w="1426" w:type="dxa"/>
            <w:vMerge w:val="restart"/>
          </w:tcPr>
          <w:p>
            <w:pPr>
              <w:pStyle w:val="5"/>
              <w:rPr>
                <w:rFonts w:hint="eastAsia" w:ascii="黑体" w:hAnsi="黑体" w:eastAsia="黑体" w:cs="黑体"/>
                <w:sz w:val="20"/>
              </w:rPr>
            </w:pPr>
          </w:p>
        </w:tc>
        <w:tc>
          <w:tcPr>
            <w:tcW w:w="1627" w:type="dxa"/>
          </w:tcPr>
          <w:p>
            <w:pPr>
              <w:pStyle w:val="5"/>
              <w:rPr>
                <w:rFonts w:hint="eastAsia" w:ascii="黑体" w:hAnsi="黑体" w:eastAsia="黑体" w:cs="黑体"/>
                <w:sz w:val="20"/>
              </w:rPr>
            </w:pPr>
          </w:p>
        </w:tc>
        <w:tc>
          <w:tcPr>
            <w:tcW w:w="7703" w:type="dxa"/>
          </w:tcPr>
          <w:p>
            <w:pPr>
              <w:pStyle w:val="5"/>
              <w:spacing w:before="14" w:line="213" w:lineRule="auto"/>
              <w:ind w:left="107" w:right="-15"/>
              <w:rPr>
                <w:rFonts w:hint="eastAsia" w:ascii="黑体" w:hAnsi="黑体" w:eastAsia="黑体" w:cs="黑体"/>
                <w:sz w:val="21"/>
              </w:rPr>
            </w:pPr>
            <w:r>
              <w:rPr>
                <w:rFonts w:hint="eastAsia" w:ascii="黑体" w:hAnsi="黑体" w:eastAsia="黑体" w:cs="黑体"/>
                <w:spacing w:val="-7"/>
                <w:sz w:val="21"/>
              </w:rPr>
              <w:t xml:space="preserve">设立 </w:t>
            </w:r>
            <w:r>
              <w:rPr>
                <w:rFonts w:hint="eastAsia" w:ascii="黑体" w:hAnsi="黑体" w:eastAsia="黑体" w:cs="黑体"/>
                <w:spacing w:val="-2"/>
                <w:sz w:val="21"/>
              </w:rPr>
              <w:t>24</w:t>
            </w:r>
            <w:r>
              <w:rPr>
                <w:rFonts w:hint="eastAsia" w:ascii="黑体" w:hAnsi="黑体" w:eastAsia="黑体" w:cs="黑体"/>
                <w:spacing w:val="-12"/>
                <w:sz w:val="21"/>
              </w:rPr>
              <w:t xml:space="preserve"> </w:t>
            </w:r>
            <w:r>
              <w:rPr>
                <w:rFonts w:hint="eastAsia" w:ascii="黑体" w:hAnsi="黑体" w:eastAsia="黑体" w:cs="黑体"/>
                <w:spacing w:val="-2"/>
                <w:sz w:val="21"/>
              </w:rPr>
              <w:t>小时应急报修热线电话向社会公布；设立燃气专业抢险队伍，配备必要的抢</w:t>
            </w:r>
            <w:r>
              <w:rPr>
                <w:rFonts w:hint="eastAsia" w:ascii="黑体" w:hAnsi="黑体" w:eastAsia="黑体" w:cs="黑体"/>
                <w:spacing w:val="-6"/>
                <w:sz w:val="21"/>
              </w:rPr>
              <w:t>修车辆、抢修设备、抢修器材、通信设备、防护用具、消防器材、检测仪器等装备，</w:t>
            </w:r>
            <w:r>
              <w:rPr>
                <w:rFonts w:hint="eastAsia" w:ascii="黑体" w:hAnsi="黑体" w:eastAsia="黑体" w:cs="黑体"/>
                <w:sz w:val="21"/>
              </w:rPr>
              <w:t xml:space="preserve">抢维修人员 </w:t>
            </w:r>
            <w:r>
              <w:rPr>
                <w:rFonts w:hint="eastAsia" w:ascii="黑体" w:hAnsi="黑体" w:eastAsia="黑体" w:cs="黑体"/>
                <w:sz w:val="21"/>
              </w:rPr>
              <w:t xml:space="preserve">24 </w:t>
            </w:r>
            <w:r>
              <w:rPr>
                <w:rFonts w:hint="eastAsia" w:ascii="黑体" w:hAnsi="黑体" w:eastAsia="黑体" w:cs="黑体"/>
                <w:sz w:val="21"/>
              </w:rPr>
              <w:t>小时值守。</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2" w:hRule="atLeast"/>
        </w:trPr>
        <w:tc>
          <w:tcPr>
            <w:tcW w:w="824" w:type="dxa"/>
            <w:vMerge w:val="continue"/>
            <w:tcBorders>
              <w:top w:val="nil"/>
            </w:tcBorders>
          </w:tcPr>
          <w:p>
            <w:pPr>
              <w:rPr>
                <w:rFonts w:hint="eastAsia" w:ascii="黑体" w:hAnsi="黑体" w:eastAsia="黑体" w:cs="黑体"/>
                <w:sz w:val="2"/>
                <w:szCs w:val="2"/>
              </w:rPr>
            </w:pPr>
          </w:p>
        </w:tc>
        <w:tc>
          <w:tcPr>
            <w:tcW w:w="1426" w:type="dxa"/>
            <w:vMerge w:val="continue"/>
            <w:tcBorders>
              <w:top w:val="nil"/>
            </w:tcBorders>
          </w:tcPr>
          <w:p>
            <w:pPr>
              <w:rPr>
                <w:rFonts w:hint="eastAsia" w:ascii="黑体" w:hAnsi="黑体" w:eastAsia="黑体" w:cs="黑体"/>
                <w:sz w:val="2"/>
                <w:szCs w:val="2"/>
              </w:rPr>
            </w:pPr>
          </w:p>
        </w:tc>
        <w:tc>
          <w:tcPr>
            <w:tcW w:w="1627" w:type="dxa"/>
            <w:vMerge w:val="restart"/>
          </w:tcPr>
          <w:p>
            <w:pPr>
              <w:pStyle w:val="5"/>
              <w:rPr>
                <w:rFonts w:hint="eastAsia" w:ascii="黑体" w:hAnsi="黑体" w:eastAsia="黑体" w:cs="黑体"/>
                <w:sz w:val="20"/>
              </w:rPr>
            </w:pPr>
          </w:p>
          <w:p>
            <w:pPr>
              <w:pStyle w:val="5"/>
              <w:spacing w:before="16"/>
              <w:rPr>
                <w:rFonts w:hint="eastAsia" w:ascii="黑体" w:hAnsi="黑体" w:eastAsia="黑体" w:cs="黑体"/>
                <w:sz w:val="17"/>
              </w:rPr>
            </w:pPr>
          </w:p>
          <w:p>
            <w:pPr>
              <w:pStyle w:val="5"/>
              <w:spacing w:line="213" w:lineRule="auto"/>
              <w:ind w:left="606" w:right="179" w:hanging="411"/>
              <w:rPr>
                <w:rFonts w:hint="eastAsia" w:ascii="黑体" w:hAnsi="黑体" w:eastAsia="黑体" w:cs="黑体"/>
                <w:sz w:val="21"/>
              </w:rPr>
            </w:pPr>
            <w:r>
              <w:rPr>
                <w:rFonts w:hint="eastAsia" w:ascii="黑体" w:hAnsi="黑体" w:eastAsia="黑体" w:cs="黑体"/>
                <w:spacing w:val="-6"/>
                <w:sz w:val="21"/>
              </w:rPr>
              <w:t>安全生产事故管理</w:t>
            </w:r>
          </w:p>
        </w:tc>
        <w:tc>
          <w:tcPr>
            <w:tcW w:w="7703" w:type="dxa"/>
          </w:tcPr>
          <w:p>
            <w:pPr>
              <w:pStyle w:val="5"/>
              <w:spacing w:before="14" w:line="213" w:lineRule="auto"/>
              <w:ind w:left="107" w:right="169"/>
              <w:jc w:val="both"/>
              <w:rPr>
                <w:rFonts w:hint="eastAsia" w:ascii="黑体" w:hAnsi="黑体" w:eastAsia="黑体" w:cs="黑体"/>
                <w:sz w:val="21"/>
              </w:rPr>
            </w:pPr>
            <w:r>
              <w:rPr>
                <w:rFonts w:hint="eastAsia" w:ascii="黑体" w:hAnsi="黑体" w:eastAsia="黑体" w:cs="黑体"/>
                <w:spacing w:val="-6"/>
                <w:sz w:val="21"/>
              </w:rPr>
              <w:t>燃气企业发生生产安全事故后，迅速启动相应的应急救援预案，积极组织抢险与救援，妥善处理，控制事态，减少人员伤亡和财产损失；按照有关规定及时、如实向</w:t>
            </w:r>
            <w:r>
              <w:rPr>
                <w:rFonts w:hint="eastAsia" w:ascii="黑体" w:hAnsi="黑体" w:eastAsia="黑体" w:cs="黑体"/>
                <w:spacing w:val="-2"/>
                <w:sz w:val="21"/>
              </w:rPr>
              <w:t>当地政府及有关部门报告。</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3" w:hRule="atLeast"/>
        </w:trPr>
        <w:tc>
          <w:tcPr>
            <w:tcW w:w="824" w:type="dxa"/>
            <w:vMerge w:val="continue"/>
            <w:tcBorders>
              <w:top w:val="nil"/>
            </w:tcBorders>
          </w:tcPr>
          <w:p>
            <w:pPr>
              <w:rPr>
                <w:rFonts w:hint="eastAsia" w:ascii="黑体" w:hAnsi="黑体" w:eastAsia="黑体" w:cs="黑体"/>
                <w:sz w:val="2"/>
                <w:szCs w:val="2"/>
              </w:rPr>
            </w:pPr>
          </w:p>
        </w:tc>
        <w:tc>
          <w:tcPr>
            <w:tcW w:w="1426" w:type="dxa"/>
            <w:vMerge w:val="continue"/>
            <w:tcBorders>
              <w:top w:val="nil"/>
            </w:tcBorders>
          </w:tcPr>
          <w:p>
            <w:pPr>
              <w:rPr>
                <w:rFonts w:hint="eastAsia" w:ascii="黑体" w:hAnsi="黑体" w:eastAsia="黑体" w:cs="黑体"/>
                <w:sz w:val="2"/>
                <w:szCs w:val="2"/>
              </w:rPr>
            </w:pPr>
          </w:p>
        </w:tc>
        <w:tc>
          <w:tcPr>
            <w:tcW w:w="1627" w:type="dxa"/>
            <w:vMerge w:val="continue"/>
            <w:tcBorders>
              <w:top w:val="nil"/>
            </w:tcBorders>
          </w:tcPr>
          <w:p>
            <w:pPr>
              <w:rPr>
                <w:rFonts w:hint="eastAsia" w:ascii="黑体" w:hAnsi="黑体" w:eastAsia="黑体" w:cs="黑体"/>
                <w:sz w:val="2"/>
                <w:szCs w:val="2"/>
              </w:rPr>
            </w:pPr>
          </w:p>
        </w:tc>
        <w:tc>
          <w:tcPr>
            <w:tcW w:w="7703" w:type="dxa"/>
          </w:tcPr>
          <w:p>
            <w:pPr>
              <w:pStyle w:val="5"/>
              <w:spacing w:before="14" w:line="213" w:lineRule="auto"/>
              <w:ind w:left="107" w:right="169"/>
              <w:jc w:val="both"/>
              <w:rPr>
                <w:rFonts w:hint="eastAsia" w:ascii="黑体" w:hAnsi="黑体" w:eastAsia="黑体" w:cs="黑体"/>
                <w:sz w:val="21"/>
              </w:rPr>
            </w:pPr>
            <w:r>
              <w:rPr>
                <w:rFonts w:hint="eastAsia" w:ascii="黑体" w:hAnsi="黑体" w:eastAsia="黑体" w:cs="黑体"/>
                <w:spacing w:val="-6"/>
                <w:sz w:val="21"/>
              </w:rPr>
              <w:t>企业发生事故后，应按照有关规定成立事故处置组或调查组，进行事故调查或配合</w:t>
            </w:r>
            <w:r>
              <w:rPr>
                <w:rFonts w:hint="eastAsia" w:ascii="黑体" w:hAnsi="黑体" w:eastAsia="黑体" w:cs="黑体"/>
                <w:spacing w:val="-4"/>
                <w:sz w:val="21"/>
              </w:rPr>
              <w:t>有关政府部门的事故调查；按照事故处理的</w:t>
            </w:r>
            <w:r>
              <w:rPr>
                <w:rFonts w:hint="eastAsia" w:ascii="黑体" w:hAnsi="黑体" w:eastAsia="黑体" w:cs="黑体"/>
                <w:spacing w:val="-4"/>
                <w:sz w:val="21"/>
              </w:rPr>
              <w:t>“</w:t>
            </w:r>
            <w:r>
              <w:rPr>
                <w:rFonts w:hint="eastAsia" w:ascii="黑体" w:hAnsi="黑体" w:eastAsia="黑体" w:cs="黑体"/>
                <w:spacing w:val="-4"/>
                <w:sz w:val="21"/>
              </w:rPr>
              <w:t>四不放过</w:t>
            </w:r>
            <w:r>
              <w:rPr>
                <w:rFonts w:hint="eastAsia" w:ascii="黑体" w:hAnsi="黑体" w:eastAsia="黑体" w:cs="黑体"/>
                <w:spacing w:val="-4"/>
                <w:sz w:val="21"/>
              </w:rPr>
              <w:t>”</w:t>
            </w:r>
            <w:r>
              <w:rPr>
                <w:rFonts w:hint="eastAsia" w:ascii="黑体" w:hAnsi="黑体" w:eastAsia="黑体" w:cs="黑体"/>
                <w:spacing w:val="-4"/>
                <w:sz w:val="21"/>
              </w:rPr>
              <w:t>原则，查清事故原因、处理</w:t>
            </w:r>
            <w:r>
              <w:rPr>
                <w:rFonts w:hint="eastAsia" w:ascii="黑体" w:hAnsi="黑体" w:eastAsia="黑体" w:cs="黑体"/>
                <w:spacing w:val="-2"/>
                <w:sz w:val="21"/>
              </w:rPr>
              <w:t>事故责任人、教育相关人员、落实事故整改和预防措施。</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7" w:hRule="atLeast"/>
        </w:trPr>
        <w:tc>
          <w:tcPr>
            <w:tcW w:w="824" w:type="dxa"/>
            <w:vMerge w:val="continue"/>
            <w:tcBorders>
              <w:top w:val="nil"/>
            </w:tcBorders>
          </w:tcPr>
          <w:p>
            <w:pPr>
              <w:rPr>
                <w:rFonts w:hint="eastAsia" w:ascii="黑体" w:hAnsi="黑体" w:eastAsia="黑体" w:cs="黑体"/>
                <w:sz w:val="2"/>
                <w:szCs w:val="2"/>
              </w:rPr>
            </w:pPr>
          </w:p>
        </w:tc>
        <w:tc>
          <w:tcPr>
            <w:tcW w:w="1426" w:type="dxa"/>
            <w:vMerge w:val="continue"/>
            <w:tcBorders>
              <w:top w:val="nil"/>
            </w:tcBorders>
          </w:tcPr>
          <w:p>
            <w:pPr>
              <w:rPr>
                <w:rFonts w:hint="eastAsia" w:ascii="黑体" w:hAnsi="黑体" w:eastAsia="黑体" w:cs="黑体"/>
                <w:sz w:val="2"/>
                <w:szCs w:val="2"/>
              </w:rPr>
            </w:pPr>
          </w:p>
        </w:tc>
        <w:tc>
          <w:tcPr>
            <w:tcW w:w="1627" w:type="dxa"/>
            <w:vMerge w:val="continue"/>
            <w:tcBorders>
              <w:top w:val="nil"/>
            </w:tcBorders>
          </w:tcPr>
          <w:p>
            <w:pPr>
              <w:rPr>
                <w:rFonts w:hint="eastAsia" w:ascii="黑体" w:hAnsi="黑体" w:eastAsia="黑体" w:cs="黑体"/>
                <w:sz w:val="2"/>
                <w:szCs w:val="2"/>
              </w:rPr>
            </w:pPr>
          </w:p>
        </w:tc>
        <w:tc>
          <w:tcPr>
            <w:tcW w:w="7703" w:type="dxa"/>
          </w:tcPr>
          <w:p>
            <w:pPr>
              <w:pStyle w:val="5"/>
              <w:spacing w:line="295" w:lineRule="exact"/>
              <w:ind w:left="107"/>
              <w:rPr>
                <w:rFonts w:hint="eastAsia" w:ascii="黑体" w:hAnsi="黑体" w:eastAsia="黑体" w:cs="黑体"/>
                <w:sz w:val="21"/>
              </w:rPr>
            </w:pPr>
            <w:r>
              <w:rPr>
                <w:rFonts w:hint="eastAsia" w:ascii="黑体" w:hAnsi="黑体" w:eastAsia="黑体" w:cs="黑体"/>
                <w:spacing w:val="-7"/>
                <w:sz w:val="21"/>
              </w:rPr>
              <w:t>建立事故事件档案和管理台账；对事故事件数据进行分类分级统计、分析。</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824" w:type="dxa"/>
          </w:tcPr>
          <w:p>
            <w:pPr>
              <w:pStyle w:val="5"/>
              <w:spacing w:before="42"/>
              <w:ind w:left="106"/>
              <w:rPr>
                <w:rFonts w:hint="eastAsia" w:ascii="黑体" w:hAnsi="黑体" w:eastAsia="黑体" w:cs="黑体"/>
                <w:sz w:val="21"/>
              </w:rPr>
            </w:pPr>
            <w:r>
              <w:rPr>
                <w:rFonts w:hint="eastAsia" w:ascii="黑体" w:hAnsi="黑体" w:eastAsia="黑体" w:cs="黑体"/>
                <w:spacing w:val="-5"/>
                <w:sz w:val="21"/>
              </w:rPr>
              <w:t>11</w:t>
            </w:r>
          </w:p>
        </w:tc>
        <w:tc>
          <w:tcPr>
            <w:tcW w:w="3053" w:type="dxa"/>
            <w:gridSpan w:val="2"/>
          </w:tcPr>
          <w:p>
            <w:pPr>
              <w:pStyle w:val="5"/>
              <w:spacing w:line="295" w:lineRule="exact"/>
              <w:ind w:left="1102" w:right="1090"/>
              <w:jc w:val="center"/>
              <w:rPr>
                <w:rFonts w:hint="eastAsia" w:ascii="黑体" w:hAnsi="黑体" w:eastAsia="黑体" w:cs="黑体"/>
                <w:sz w:val="21"/>
              </w:rPr>
            </w:pPr>
            <w:r>
              <w:rPr>
                <w:rFonts w:hint="eastAsia" w:ascii="黑体" w:hAnsi="黑体" w:eastAsia="黑体" w:cs="黑体"/>
                <w:spacing w:val="-9"/>
                <w:sz w:val="21"/>
              </w:rPr>
              <w:t>其他</w:t>
            </w:r>
          </w:p>
        </w:tc>
        <w:tc>
          <w:tcPr>
            <w:tcW w:w="7703" w:type="dxa"/>
          </w:tcPr>
          <w:p>
            <w:pPr>
              <w:pStyle w:val="5"/>
              <w:spacing w:line="295" w:lineRule="exact"/>
              <w:ind w:left="107"/>
              <w:rPr>
                <w:rFonts w:hint="eastAsia" w:ascii="黑体" w:hAnsi="黑体" w:eastAsia="黑体" w:cs="黑体"/>
                <w:sz w:val="21"/>
              </w:rPr>
            </w:pPr>
            <w:r>
              <w:rPr>
                <w:rFonts w:hint="eastAsia" w:ascii="黑体" w:hAnsi="黑体" w:eastAsia="黑体" w:cs="黑体"/>
                <w:spacing w:val="-6"/>
                <w:sz w:val="21"/>
              </w:rPr>
              <w:t>……</w:t>
            </w:r>
            <w:r>
              <w:rPr>
                <w:rFonts w:hint="eastAsia" w:ascii="黑体" w:hAnsi="黑体" w:eastAsia="黑体" w:cs="黑体"/>
                <w:spacing w:val="-10"/>
                <w:sz w:val="21"/>
              </w:rPr>
              <w:t>。</w:t>
            </w:r>
          </w:p>
        </w:tc>
        <w:tc>
          <w:tcPr>
            <w:tcW w:w="1842" w:type="dxa"/>
          </w:tcPr>
          <w:p>
            <w:pPr>
              <w:pStyle w:val="5"/>
              <w:rPr>
                <w:rFonts w:hint="eastAsia" w:ascii="黑体" w:hAnsi="黑体" w:eastAsia="黑体" w:cs="黑体"/>
                <w:sz w:val="20"/>
              </w:rPr>
            </w:pPr>
          </w:p>
        </w:tc>
        <w:tc>
          <w:tcPr>
            <w:tcW w:w="1340" w:type="dxa"/>
          </w:tcPr>
          <w:p>
            <w:pPr>
              <w:pStyle w:val="5"/>
              <w:rPr>
                <w:rFonts w:hint="eastAsia" w:ascii="黑体" w:hAnsi="黑体" w:eastAsia="黑体" w:cs="黑体"/>
                <w:sz w:val="20"/>
              </w:rPr>
            </w:pPr>
          </w:p>
        </w:tc>
      </w:tr>
    </w:tbl>
    <w:p>
      <w:pPr>
        <w:rPr>
          <w:rFonts w:hint="eastAsia" w:ascii="黑体" w:hAnsi="黑体" w:eastAsia="黑体" w:cs="黑体"/>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AaMSXK">
    <w:panose1 w:val="02010600010101010101"/>
    <w:charset w:val="86"/>
    <w:family w:val="roman"/>
    <w:pitch w:val="default"/>
    <w:sig w:usb0="00000000" w:usb1="00000000" w:usb2="00000000" w:usb3="00000000" w:csb0="00160000" w:csb1="00000000"/>
  </w:font>
  <w:font w:name="Hiragino Sans GB">
    <w:panose1 w:val="020B0300000000000000"/>
    <w:charset w:val="86"/>
    <w:family w:val="swiss"/>
    <w:pitch w:val="default"/>
    <w:sig w:usb0="00000000" w:usb1="00000000" w:usb2="00000000" w:usb3="00000000" w:csb0="00160000" w:csb1="00000000"/>
  </w:font>
  <w:font w:name="黑体">
    <w:altName w:val="汉仪中黑KW"/>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EFCE0"/>
    <w:multiLevelType w:val="multilevel"/>
    <w:tmpl w:val="FBFEFCE0"/>
    <w:lvl w:ilvl="0" w:tentative="0">
      <w:start w:val="1"/>
      <w:numFmt w:val="decimal"/>
      <w:lvlText w:val="%1."/>
      <w:lvlJc w:val="left"/>
      <w:pPr>
        <w:ind w:left="264" w:hanging="157"/>
        <w:jc w:val="left"/>
      </w:pPr>
      <w:rPr>
        <w:rFonts w:hint="default" w:ascii="Times New Roman" w:hAnsi="Times New Roman" w:eastAsia="Times New Roman" w:cs="Times New Roman"/>
        <w:b w:val="0"/>
        <w:bCs w:val="0"/>
        <w:i w:val="0"/>
        <w:iCs w:val="0"/>
        <w:spacing w:val="-2"/>
        <w:w w:val="99"/>
        <w:sz w:val="19"/>
        <w:szCs w:val="19"/>
        <w:lang w:val="en-US" w:eastAsia="zh-CN" w:bidi="ar-SA"/>
      </w:rPr>
    </w:lvl>
    <w:lvl w:ilvl="1" w:tentative="0">
      <w:start w:val="0"/>
      <w:numFmt w:val="bullet"/>
      <w:lvlText w:val="•"/>
      <w:lvlJc w:val="left"/>
      <w:pPr>
        <w:ind w:left="1003" w:hanging="157"/>
      </w:pPr>
      <w:rPr>
        <w:rFonts w:hint="default"/>
        <w:lang w:val="en-US" w:eastAsia="zh-CN" w:bidi="ar-SA"/>
      </w:rPr>
    </w:lvl>
    <w:lvl w:ilvl="2" w:tentative="0">
      <w:start w:val="0"/>
      <w:numFmt w:val="bullet"/>
      <w:lvlText w:val="•"/>
      <w:lvlJc w:val="left"/>
      <w:pPr>
        <w:ind w:left="1746" w:hanging="157"/>
      </w:pPr>
      <w:rPr>
        <w:rFonts w:hint="default"/>
        <w:lang w:val="en-US" w:eastAsia="zh-CN" w:bidi="ar-SA"/>
      </w:rPr>
    </w:lvl>
    <w:lvl w:ilvl="3" w:tentative="0">
      <w:start w:val="0"/>
      <w:numFmt w:val="bullet"/>
      <w:lvlText w:val="•"/>
      <w:lvlJc w:val="left"/>
      <w:pPr>
        <w:ind w:left="2489" w:hanging="157"/>
      </w:pPr>
      <w:rPr>
        <w:rFonts w:hint="default"/>
        <w:lang w:val="en-US" w:eastAsia="zh-CN" w:bidi="ar-SA"/>
      </w:rPr>
    </w:lvl>
    <w:lvl w:ilvl="4" w:tentative="0">
      <w:start w:val="0"/>
      <w:numFmt w:val="bullet"/>
      <w:lvlText w:val="•"/>
      <w:lvlJc w:val="left"/>
      <w:pPr>
        <w:ind w:left="3233" w:hanging="157"/>
      </w:pPr>
      <w:rPr>
        <w:rFonts w:hint="default"/>
        <w:lang w:val="en-US" w:eastAsia="zh-CN" w:bidi="ar-SA"/>
      </w:rPr>
    </w:lvl>
    <w:lvl w:ilvl="5" w:tentative="0">
      <w:start w:val="0"/>
      <w:numFmt w:val="bullet"/>
      <w:lvlText w:val="•"/>
      <w:lvlJc w:val="left"/>
      <w:pPr>
        <w:ind w:left="3976" w:hanging="157"/>
      </w:pPr>
      <w:rPr>
        <w:rFonts w:hint="default"/>
        <w:lang w:val="en-US" w:eastAsia="zh-CN" w:bidi="ar-SA"/>
      </w:rPr>
    </w:lvl>
    <w:lvl w:ilvl="6" w:tentative="0">
      <w:start w:val="0"/>
      <w:numFmt w:val="bullet"/>
      <w:lvlText w:val="•"/>
      <w:lvlJc w:val="left"/>
      <w:pPr>
        <w:ind w:left="4719" w:hanging="157"/>
      </w:pPr>
      <w:rPr>
        <w:rFonts w:hint="default"/>
        <w:lang w:val="en-US" w:eastAsia="zh-CN" w:bidi="ar-SA"/>
      </w:rPr>
    </w:lvl>
    <w:lvl w:ilvl="7" w:tentative="0">
      <w:start w:val="0"/>
      <w:numFmt w:val="bullet"/>
      <w:lvlText w:val="•"/>
      <w:lvlJc w:val="left"/>
      <w:pPr>
        <w:ind w:left="5463" w:hanging="157"/>
      </w:pPr>
      <w:rPr>
        <w:rFonts w:hint="default"/>
        <w:lang w:val="en-US" w:eastAsia="zh-CN" w:bidi="ar-SA"/>
      </w:rPr>
    </w:lvl>
    <w:lvl w:ilvl="8" w:tentative="0">
      <w:start w:val="0"/>
      <w:numFmt w:val="bullet"/>
      <w:lvlText w:val="•"/>
      <w:lvlJc w:val="left"/>
      <w:pPr>
        <w:ind w:left="6206" w:hanging="157"/>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3377A"/>
    <w:rsid w:val="3F533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aMSXK" w:hAnsi="AaMSXK" w:eastAsia="AaMSXK" w:cs="AaMSXK"/>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AaMSXK" w:hAnsi="AaMSXK" w:eastAsia="AaMSXK" w:cs="AaMSXK"/>
      <w:sz w:val="32"/>
      <w:szCs w:val="32"/>
      <w:lang w:val="en-US" w:eastAsia="zh-CN" w:bidi="ar-SA"/>
    </w:rPr>
  </w:style>
  <w:style w:type="paragraph" w:customStyle="1" w:styleId="5">
    <w:name w:val="Table Paragraph"/>
    <w:basedOn w:val="1"/>
    <w:qFormat/>
    <w:uiPriority w:val="1"/>
    <w:rPr>
      <w:rFonts w:ascii="AaMSXK" w:hAnsi="AaMSXK" w:eastAsia="AaMSXK" w:cs="AaMSXK"/>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2023-03-03T16:57:00Z</dcterms:created>
  <dc:creator>WPS_1513130633</dc:creator>
  <cp:lastModifiedBy>WPS_1513130633</cp:lastModifiedBy>
  <dcterms:modified xsi:type="dcterms:W3CDTF">2023-03-03T16:57:48Z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3853118F76E5E24B62B601646067A55B</vt:lpwstr>
  </property>
</Properties>
</file>