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jc w:val="center"/>
        <w:rPr>
          <w:color w:val="000000"/>
        </w:rPr>
      </w:pPr>
      <w:bookmarkStart w:id="1" w:name="_GoBack"/>
      <w:bookmarkEnd w:id="1"/>
      <w:bookmarkStart w:id="0" w:name="_Toc86160646"/>
      <w:r>
        <w:rPr>
          <w:rFonts w:hint="eastAsia" w:ascii="黑体" w:hAnsi="黑体" w:eastAsia="黑体"/>
          <w:color w:val="000000"/>
          <w:sz w:val="32"/>
          <w:szCs w:val="32"/>
        </w:rPr>
        <w:t>企业基本情况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716"/>
        <w:gridCol w:w="1376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2" w:hRule="atLeast"/>
        </w:trPr>
        <w:tc>
          <w:tcPr>
            <w:tcW w:w="249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企业（单位）名称</w:t>
            </w:r>
          </w:p>
        </w:tc>
        <w:tc>
          <w:tcPr>
            <w:tcW w:w="4598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等线 Light" w:hAnsi="等线 Light" w:eastAsia="等线 Light"/>
                <w:color w:val="000000"/>
                <w:sz w:val="24"/>
              </w:rPr>
              <w:t>成都IFS国际金融中心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企业地址</w:t>
            </w:r>
          </w:p>
        </w:tc>
        <w:tc>
          <w:tcPr>
            <w:tcW w:w="4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四川省成都市锦江区红星路三段1号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</w:trPr>
        <w:tc>
          <w:tcPr>
            <w:tcW w:w="249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企业（单位）性质</w:t>
            </w:r>
          </w:p>
        </w:tc>
        <w:tc>
          <w:tcPr>
            <w:tcW w:w="4598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有限责任公司（港澳台法人独资）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企业类别</w:t>
            </w:r>
          </w:p>
        </w:tc>
        <w:tc>
          <w:tcPr>
            <w:tcW w:w="4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</w:trPr>
        <w:tc>
          <w:tcPr>
            <w:tcW w:w="249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firstLine="721" w:firstLineChars="3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企业规模</w:t>
            </w:r>
          </w:p>
        </w:tc>
        <w:tc>
          <w:tcPr>
            <w:tcW w:w="4598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中型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主要负责人</w:t>
            </w:r>
          </w:p>
        </w:tc>
        <w:tc>
          <w:tcPr>
            <w:tcW w:w="4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</w:trPr>
        <w:tc>
          <w:tcPr>
            <w:tcW w:w="249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营业执照号及有效期</w:t>
            </w:r>
          </w:p>
        </w:tc>
        <w:tc>
          <w:tcPr>
            <w:tcW w:w="4598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ascii="等线 Light" w:hAnsi="等线 Light" w:eastAsia="等线 Light"/>
                <w:color w:val="000000"/>
                <w:sz w:val="24"/>
              </w:rPr>
              <w:t>2021</w:t>
            </w:r>
            <w:r>
              <w:rPr>
                <w:rFonts w:hint="eastAsia" w:ascii="等线 Light" w:hAnsi="等线 Light" w:eastAsia="等线 Light"/>
                <w:color w:val="000000"/>
                <w:sz w:val="24"/>
              </w:rPr>
              <w:t>年XX月XX日至长期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主要安全风险</w:t>
            </w:r>
          </w:p>
        </w:tc>
        <w:tc>
          <w:tcPr>
            <w:tcW w:w="4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火灾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</w:trPr>
        <w:tc>
          <w:tcPr>
            <w:tcW w:w="249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防火等级</w:t>
            </w:r>
          </w:p>
        </w:tc>
        <w:tc>
          <w:tcPr>
            <w:tcW w:w="4598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其它需备注的情况</w:t>
            </w:r>
          </w:p>
        </w:tc>
        <w:tc>
          <w:tcPr>
            <w:tcW w:w="4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F567"/>
    <w:rsid w:val="49DFF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2023-03-02T17:22:00Z</dcterms:created>
  <dc:creator>WPS_1513130633</dc:creator>
  <cp:lastModifiedBy>WPS_1513130633</cp:lastModifiedBy>
  <dcterms:modified xsi:type="dcterms:W3CDTF">2023-03-02T17:22:42Z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B2F0EB5E256BD69FBC6A0064AD82E321</vt:lpwstr>
  </property>
</Properties>
</file>